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13974-2022 i Härjedalens kommun</w:t>
      </w:r>
    </w:p>
    <w:p>
      <w:r>
        <w:t>Detta klagomål behandlar höga naturvärden i avverkningsanmälan A 13974-2022 i Härjedalens kommun som inkom 2022-03-30 och omfattar 10,8 ha.</w:t>
      </w:r>
    </w:p>
    <w:p>
      <w:pPr>
        <w:pStyle w:val="Caption"/>
      </w:pPr>
      <w:r>
        <w:drawing>
          <wp:inline xmlns:a="http://schemas.openxmlformats.org/drawingml/2006/main" xmlns:pic="http://schemas.openxmlformats.org/drawingml/2006/picture">
            <wp:extent cx="4388400" cy="5724000"/>
            <wp:docPr id="1" name="Picture 1"/>
            <wp:cNvGraphicFramePr>
              <a:graphicFrameLocks noChangeAspect="1"/>
            </wp:cNvGraphicFramePr>
            <a:graphic>
              <a:graphicData uri="http://schemas.openxmlformats.org/drawingml/2006/picture">
                <pic:pic>
                  <pic:nvPicPr>
                    <pic:cNvPr id="0" name="A 13974-2022 karta.png"/>
                    <pic:cNvPicPr/>
                  </pic:nvPicPr>
                  <pic:blipFill>
                    <a:blip r:embed="rId16"/>
                    <a:stretch>
                      <a:fillRect/>
                    </a:stretch>
                  </pic:blipFill>
                  <pic:spPr>
                    <a:xfrm>
                      <a:off x="0" y="0"/>
                      <a:ext cx="438840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6841790, E 430786 i SWEREF 99 TM.</w:t>
      </w:r>
    </w:p>
    <w:p>
      <w:r>
        <w:t>I och inom 7 meter från avverkningsanmälan finns fynd av 18 naturvårdsarter, varav 18 är rödlistade, 1 är fridlyst och 11 är typiska (T): fläckporing (VU, T), garnlav (VU, T), gräddporing (VU, T), smalfotad taggsvamp (VU), blanksvart spiklav (NT), blågrå svartspik (NT), dropptaggsvamp (NT, T), dvärgbägarlav (NT, T), kolflarnlav (NT, T), kådvaxskinn (NT), mörk kolflarnlav (NT), tallticka (NT, T), tretåig hackspett (NT, T, §4), ullticka (NT, T), vedflamlav (NT), vedskivlav (NT, T), vedtrappmossa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