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42444-2023 i Härjedalens kommun</w:t>
      </w:r>
    </w:p>
    <w:p>
      <w:r>
        <w:t>Detta klagomål behandlar höga naturvärden i avverkningsanmälan A 42444-2023 i Härjedalens kommun som inkom 2023-09-11 och omfattar 20,7 ha.</w:t>
      </w:r>
    </w:p>
    <w:p>
      <w:pPr>
        <w:pStyle w:val="Caption"/>
      </w:pPr>
      <w:r>
        <w:drawing>
          <wp:inline xmlns:a="http://schemas.openxmlformats.org/drawingml/2006/main" xmlns:pic="http://schemas.openxmlformats.org/drawingml/2006/picture">
            <wp:extent cx="4591002" cy="5724000"/>
            <wp:docPr id="1" name="Picture 1"/>
            <wp:cNvGraphicFramePr>
              <a:graphicFrameLocks noChangeAspect="1"/>
            </wp:cNvGraphicFramePr>
            <a:graphic>
              <a:graphicData uri="http://schemas.openxmlformats.org/drawingml/2006/picture">
                <pic:pic>
                  <pic:nvPicPr>
                    <pic:cNvPr id="0" name="A 42444-2023 karta.png"/>
                    <pic:cNvPicPr/>
                  </pic:nvPicPr>
                  <pic:blipFill>
                    <a:blip r:embed="rId16"/>
                    <a:stretch>
                      <a:fillRect/>
                    </a:stretch>
                  </pic:blipFill>
                  <pic:spPr>
                    <a:xfrm>
                      <a:off x="0" y="0"/>
                      <a:ext cx="4591002"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6953611, E 385388 i SWEREF 99 TM.</w:t>
      </w:r>
    </w:p>
    <w:p>
      <w:r>
        <w:t>I och inom 14 meter från avverkningsanmälan finns fynd av 16 naturvårdsarter, varav 12 är rödlistade, 2 är fridlysta, 11 är typiska (T) och 4 är signalarter (S): garnlav (VU, T), gräddporing (VU, T), liten sotlav (VU, T), blanksvart spiklav (NT), blågrå svartspik (NT), gammelgransskål (NT, T), knottrig blåslav (NT, T), talltita (NT, §4), tretåig hackspett (NT, T, §4), vaddporing (NT), vedflamlav (NT), vedskivlav (NT, T), bårdlav (S, T), skinnlav (S, T), sotlav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