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38362-2021 i Härjedalens kommun</w:t>
      </w:r>
    </w:p>
    <w:p>
      <w:r>
        <w:t>Detta klagomål behandlar höga naturvärden i avverkningsanmälan A 38362-2021 i Härjedalens kommun som inkom 2021-07-29 och omfattar 88,0 ha.</w:t>
      </w:r>
    </w:p>
    <w:p>
      <w:pPr>
        <w:pStyle w:val="Caption"/>
      </w:pPr>
      <w:r>
        <w:drawing>
          <wp:inline xmlns:a="http://schemas.openxmlformats.org/drawingml/2006/main" xmlns:pic="http://schemas.openxmlformats.org/drawingml/2006/picture">
            <wp:extent cx="5313187" cy="5724000"/>
            <wp:docPr id="1" name="Picture 1"/>
            <wp:cNvGraphicFramePr>
              <a:graphicFrameLocks noChangeAspect="1"/>
            </wp:cNvGraphicFramePr>
            <a:graphic>
              <a:graphicData uri="http://schemas.openxmlformats.org/drawingml/2006/picture">
                <pic:pic>
                  <pic:nvPicPr>
                    <pic:cNvPr id="0" name="A 38362-2021 karta.png"/>
                    <pic:cNvPicPr/>
                  </pic:nvPicPr>
                  <pic:blipFill>
                    <a:blip r:embed="rId16"/>
                    <a:stretch>
                      <a:fillRect/>
                    </a:stretch>
                  </pic:blipFill>
                  <pic:spPr>
                    <a:xfrm>
                      <a:off x="0" y="0"/>
                      <a:ext cx="531318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6864296, E 459839 i SWEREF 99 TM.</w:t>
      </w:r>
    </w:p>
    <w:p>
      <w:r>
        <w:t>I och inom 25 meter från avverkningsanmälan finns fynd av 22 naturvårdsarter, varav 18 är rödlistade, 4 är fridlysta, 14 är typiska (T) och 2 är signalarter (S): garnlav (VU, T), knärot (VU, T, §8), blanksvart spiklav (NT), blå taggsvamp (NT, T), blågrå svartspik (NT), dropptaggsvamp (NT, T), dvärgbägarlav (NT, T), knottrig blåslav (NT, T), kolflarnlav (NT, T), lunglav (NT, T), motaggsvamp (NT, T), mörk kolflarnlav (NT), skarp dropptaggsvamp (NT), skrovellav (NT, T), tallriska (NT), talltita (NT, §4), vedflamlav (NT), vedskivlav (NT, T), bollvitmossa (S, T), stor aspticka (S, T),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7.32 ha med buffertzonerna och får av detta skäl inte avverkas.</w:t>
      </w:r>
    </w:p>
    <w:p>
      <w:pPr>
        <w:pStyle w:val="Caption"/>
      </w:pPr>
      <w:r>
        <w:drawing>
          <wp:inline xmlns:a="http://schemas.openxmlformats.org/drawingml/2006/main" xmlns:pic="http://schemas.openxmlformats.org/drawingml/2006/picture">
            <wp:extent cx="5486400" cy="5537305"/>
            <wp:docPr id="2" name="Picture 2"/>
            <wp:cNvGraphicFramePr>
              <a:graphicFrameLocks noChangeAspect="1"/>
            </wp:cNvGraphicFramePr>
            <a:graphic>
              <a:graphicData uri="http://schemas.openxmlformats.org/drawingml/2006/picture">
                <pic:pic>
                  <pic:nvPicPr>
                    <pic:cNvPr id="0" name="A 38362-2021 karta knärot.png"/>
                    <pic:cNvPicPr/>
                  </pic:nvPicPr>
                  <pic:blipFill>
                    <a:blip r:embed="rId17"/>
                    <a:stretch>
                      <a:fillRect/>
                    </a:stretch>
                  </pic:blipFill>
                  <pic:spPr>
                    <a:xfrm>
                      <a:off x="0" y="0"/>
                      <a:ext cx="5486400" cy="55373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6864296, E 459839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