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57827-2024 i Härjedalens kommun</w:t>
      </w:r>
    </w:p>
    <w:p>
      <w:r>
        <w:t>Detta klagomål behandlar höga naturvärden i avverkningsanmälan A 57827-2024 i Härjedalens kommun som inkom 2024-12-05 och omfattar 273,9 ha.</w:t>
      </w:r>
    </w:p>
    <w:p>
      <w:pPr>
        <w:pStyle w:val="Caption"/>
      </w:pPr>
      <w:r>
        <w:drawing>
          <wp:inline xmlns:a="http://schemas.openxmlformats.org/drawingml/2006/main" xmlns:pic="http://schemas.openxmlformats.org/drawingml/2006/picture">
            <wp:extent cx="5486400" cy="4394557"/>
            <wp:docPr id="1" name="Picture 1"/>
            <wp:cNvGraphicFramePr>
              <a:graphicFrameLocks noChangeAspect="1"/>
            </wp:cNvGraphicFramePr>
            <a:graphic>
              <a:graphicData uri="http://schemas.openxmlformats.org/drawingml/2006/picture">
                <pic:pic>
                  <pic:nvPicPr>
                    <pic:cNvPr id="0" name="A 57827-2024 karta.png"/>
                    <pic:cNvPicPr/>
                  </pic:nvPicPr>
                  <pic:blipFill>
                    <a:blip r:embed="rId16"/>
                    <a:stretch>
                      <a:fillRect/>
                    </a:stretch>
                  </pic:blipFill>
                  <pic:spPr>
                    <a:xfrm>
                      <a:off x="0" y="0"/>
                      <a:ext cx="5486400" cy="439455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6940699, E 442571 i SWEREF 99 TM.</w:t>
      </w:r>
    </w:p>
    <w:p>
      <w:r>
        <w:t>I och inom 22 meter från avverkningsanmälan finns fynd av 17 naturvårdsarter, varav 14 är rödlistade, 5 är fridlysta och 14 är typiska (T): garnlav (VU, T), gräddporing (VU, T), gränsticka (VU, T), ostticka (VU, T), blanksvart spiklav (NT), gammelgransskål (NT, T), harticka (NT, T), knottrig blåslav (NT, T), lavskrika (NT, T, §4), rosenticka (NT, T), talltita (NT, §4), tretåig hackspett (NT, T, §4), ullticka (NT, T), vedflamlav (NT), järpe (T, §4), sälg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