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1222-2025 i Härjedalens kommun</w:t>
      </w:r>
    </w:p>
    <w:p>
      <w:r>
        <w:t>Detta klagomål behandlar höga naturvärden i samrådsanmälan S 1222-2025 i Härjedalens kommun som inkom 2025-04-14 och omfattar 40,5 ha.</w:t>
      </w:r>
    </w:p>
    <w:p>
      <w:pPr>
        <w:pStyle w:val="Caption"/>
      </w:pPr>
      <w:r>
        <w:drawing>
          <wp:inline xmlns:a="http://schemas.openxmlformats.org/drawingml/2006/main" xmlns:pic="http://schemas.openxmlformats.org/drawingml/2006/picture">
            <wp:extent cx="5486400" cy="5107301"/>
            <wp:docPr id="1" name="Picture 1"/>
            <wp:cNvGraphicFramePr>
              <a:graphicFrameLocks noChangeAspect="1"/>
            </wp:cNvGraphicFramePr>
            <a:graphic>
              <a:graphicData uri="http://schemas.openxmlformats.org/drawingml/2006/picture">
                <pic:pic>
                  <pic:nvPicPr>
                    <pic:cNvPr id="0" name="S 1222-2025 karta.png"/>
                    <pic:cNvPicPr/>
                  </pic:nvPicPr>
                  <pic:blipFill>
                    <a:blip r:embed="rId16"/>
                    <a:stretch>
                      <a:fillRect/>
                    </a:stretch>
                  </pic:blipFill>
                  <pic:spPr>
                    <a:xfrm>
                      <a:off x="0" y="0"/>
                      <a:ext cx="5486400" cy="5107301"/>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6835967, E 455728 i SWEREF 99 TM.</w:t>
      </w:r>
    </w:p>
    <w:p>
      <w:r>
        <w:t>I och inom 12 meter från samrådsanmälan finns fynd av 13 naturvårdsarter, varav 11 är rödlistade, 4 är fridlysta, 7 är typiska (T) och 1 är signalart (S): garnlav (VU, T), blanksvart spiklav (NT), gammelgransskål (NT, T), kolflarnlav (NT, T), kortskaftad ärgspik (NT), mörk kolflarnlav (NT), tretåig hackspett (NT, T, §4), varglav (NT, §8), vedflamlav (NT), vedskivlav (NT, T), vitgrynig nållav (NT), plattlummer (S,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