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39408-2026 i Härjedalens kommun</w:t>
      </w:r>
    </w:p>
    <w:p>
      <w:r>
        <w:t>Denna tillsynsbegäran behandlar höga naturvärden i avverkningsanmälan A 39408-2026 i Härjedalens kommun som inkom 2026-09-23 och omfattar 28,8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39408-2026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6851698, E 437087 i SWEREF 99 TM.</w:t>
      </w:r>
    </w:p>
    <w:p>
      <w:r>
        <w:t>I och inom 12 meter från avverkningsanmälan finns fynd av 33 naturvårdsarter, varav 30 är rödlistade, 4 är fridlysta, 13 är typiska (T) och 3 är signalarter (S): laxrosa ticka (CR), fläckporing (VU, T), garnlav (VU, T), gräddporing (VU, T), gränsticka (VU, T), Lecidea subhumida (VU), mospindling (VU), smalfotad taggsvamp (VU), spadskinn (VU), tajgataggsvamp (VU), torrmusseron (VU), blanksvart spiklav (NT), blå taggsvamp (NT, T), blågrå svartspik (NT), dropptaggsvamp (NT, T), dvärgbägarlav (NT, T), grantaggsvamp (NT), kolflarnlav (NT, T), kortskaftad ärgspik (NT), motaggsvamp (NT, T), mörk kolflarnlav (NT), nordtagging (NT), tallriska (NT), talltaggsvamp (NT), talltita (NT, §4), tretåig hackspett (NT, T, §4), varglav (NT, §8), vedflamlav (NT), vedskivlav (NT, T), storsporig dvärgpigg (DD), gullgröppa (S), nästlav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Laxrosa ticka (CR)</w:t>
      </w:r>
      <w:r>
        <w:t xml:space="preserve"> är en av våra allra främsta naturvärdesindikatorer knuten till urskogsartad tallskog där den växer på grov, mycket gammal och grånad tallved efter träd som stått döda, barklösa och exponerade under lång tid innan de fallit, så kallade ”kelo-träd” – ett substrat som tar 500–1000 år att bildas. Arten är därför mycket sällsynt och förekommer uteslutande i brandpräglade, nordliga gamla tallskogar. Även i dessa miljöer har tillgången på gamla keloträd minskat kraftigt till följd av tidigare plockhuggningar, och i naturskogar finns de numera endast som spridda rester utan pågående nybildning. Skydd av områden, nyckelbiotoper och generell hänsyn bedöms inte kunna kompensera förlusterna i produktionsskogslandskapet. Laxrosa ticka är rödlistad som akut hotad (CR) och placerad i toppen på Skogsstyrelsens värdepyramid för skog med höga naturvärden (SLU Artdatabanken, 2026;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Mospindling (VU)</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(NT) vilket innebär att Sverige har ett internationellt ansvar för arten (IUCN, 2025;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gränsticka (VU, T), blå taggsvamp (NT, T), dropptaggsvamp (NT, T), dvärgbägarlav (NT, T), kolflarnlav (NT, T), motaggsvamp (NT, T), tretåig hackspett (NT, T, §4), vedskivlav (NT, T), nästlav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