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43777-2022 i Härjedalens kommun</w:t>
      </w:r>
    </w:p>
    <w:p>
      <w:r>
        <w:t>Detta dokument behandlar höga naturvärden i avverkningsanmälan A 43777-2022 i Härjedalens kommun. Denna avverkningsanmälan inkom 2022-10-03 00:00:00 och omfattar 74,4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23 naturvårdsarter hittats: kolticka (EN), urskogsporing (EN), gräddporing (VU), knärot (VU, §8), laxgröppa (VU), blanksvart spiklav (NT), blågrå svartspik (NT), dvärgbägarlav (NT), kolflarnlav (NT), lunglav (NT), mörk kolflarnlav (NT), nordtagging (NT), spillkråka (NT, §4), talltita (NT, §4), tretåig hackspett (NT, §4), vaddporing (NT), vedflamlav (NT), vedskivlav (NT), vitplätt (NT), dropptaggsvamp (S), gullgröppa (S), nästlav (S) och vedticka (S).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615770"/>
            <wp:docPr id="1" name="Picture 1"/>
            <wp:cNvGraphicFramePr>
              <a:graphicFrameLocks noChangeAspect="1"/>
            </wp:cNvGraphicFramePr>
            <a:graphic>
              <a:graphicData uri="http://schemas.openxmlformats.org/drawingml/2006/picture">
                <pic:pic>
                  <pic:nvPicPr>
                    <pic:cNvPr id="0" name="A 43777-2022 karta.png"/>
                    <pic:cNvPicPr/>
                  </pic:nvPicPr>
                  <pic:blipFill>
                    <a:blip r:embed="rId16"/>
                    <a:stretch>
                      <a:fillRect/>
                    </a:stretch>
                  </pic:blipFill>
                  <pic:spPr>
                    <a:xfrm>
                      <a:off x="0" y="0"/>
                      <a:ext cx="5486400" cy="76157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6895924, E 504994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Kolticka (EN) </w:t>
      </w:r>
      <w:r>
        <w:t>är starkt hotad art som endast växer på brända ytor av grova tallågor, ett substrat som blir alltmer sällsynt och numera bara påträffas i gammal barrskog. Svampens växtplatser bör undantas från skogsbruk och man bör lägga särskild vikt vid att spara gamla tallar. De kända lokalerna bör övervakas och om behov föreligger ges juridiskt skydd. För att säkerställa artens fortlevnad är det eftersträvansvärt att bränna lämpliga skogspartier och låta den brända veden ligga kvar. På sikt är bristen på lämpligt substrat i det kringliggande landskapet ett hot mot artens fortlevnad (SLU Artdatabanken, 2024).</w:t>
      </w:r>
    </w:p>
    <w:p>
      <w:r>
        <w:rPr>
          <w:b/>
        </w:rPr>
        <w:t>Laxgröppa (VU)</w:t>
      </w:r>
      <w:r>
        <w:t xml:space="preserve"> är en riktig urskogssvamp som påträffas på grova, starkt murkna, ofta brandskadade liggande stammar av tall, sällan gran i gammal barrskog. Arten missgynnas av skogsbruk och merparten av lokalerna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knärot (VU, §8), spillkråka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0.62 ha med buffertzonerna och får av detta skäl inte avverkas.</w:t>
      </w:r>
    </w:p>
    <w:p>
      <w:pPr>
        <w:pStyle w:val="Caption"/>
      </w:pPr>
      <w:r>
        <w:drawing>
          <wp:inline xmlns:a="http://schemas.openxmlformats.org/drawingml/2006/main" xmlns:pic="http://schemas.openxmlformats.org/drawingml/2006/picture">
            <wp:extent cx="5486400" cy="10976229"/>
            <wp:docPr id="2" name="Picture 2"/>
            <wp:cNvGraphicFramePr>
              <a:graphicFrameLocks noChangeAspect="1"/>
            </wp:cNvGraphicFramePr>
            <a:graphic>
              <a:graphicData uri="http://schemas.openxmlformats.org/drawingml/2006/picture">
                <pic:pic>
                  <pic:nvPicPr>
                    <pic:cNvPr id="0" name="A 43777-2022 karta knärot.png"/>
                    <pic:cNvPicPr/>
                  </pic:nvPicPr>
                  <pic:blipFill>
                    <a:blip r:embed="rId17"/>
                    <a:stretch>
                      <a:fillRect/>
                    </a:stretch>
                  </pic:blipFill>
                  <pic:spPr>
                    <a:xfrm>
                      <a:off x="0" y="0"/>
                      <a:ext cx="5486400" cy="1097622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6895924, E 504994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