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28769-2022 i Härjedalens kommun</w:t>
      </w:r>
    </w:p>
    <w:p>
      <w:r>
        <w:t>Detta klagomål behandlar höga naturvärden i avverkningsanmälan A 28769-2022 i Härjedalens kommun som inkom 2022-07-07 och omfattar 9,9 ha.</w:t>
      </w:r>
    </w:p>
    <w:p>
      <w:pPr>
        <w:pStyle w:val="Caption"/>
      </w:pPr>
      <w:r>
        <w:drawing>
          <wp:inline xmlns:a="http://schemas.openxmlformats.org/drawingml/2006/main" xmlns:pic="http://schemas.openxmlformats.org/drawingml/2006/picture">
            <wp:extent cx="5486400" cy="4990550"/>
            <wp:docPr id="1" name="Picture 1"/>
            <wp:cNvGraphicFramePr>
              <a:graphicFrameLocks noChangeAspect="1"/>
            </wp:cNvGraphicFramePr>
            <a:graphic>
              <a:graphicData uri="http://schemas.openxmlformats.org/drawingml/2006/picture">
                <pic:pic>
                  <pic:nvPicPr>
                    <pic:cNvPr id="0" name="A 28769-2022 karta.png"/>
                    <pic:cNvPicPr/>
                  </pic:nvPicPr>
                  <pic:blipFill>
                    <a:blip r:embed="rId16"/>
                    <a:stretch>
                      <a:fillRect/>
                    </a:stretch>
                  </pic:blipFill>
                  <pic:spPr>
                    <a:xfrm>
                      <a:off x="0" y="0"/>
                      <a:ext cx="5486400" cy="4990550"/>
                    </a:xfrm>
                    <a:prstGeom prst="rect"/>
                  </pic:spPr>
                </pic:pic>
              </a:graphicData>
            </a:graphic>
          </wp:inline>
        </w:drawing>
      </w:r>
    </w:p>
    <w:p>
      <w:pPr>
        <w:pStyle w:val="Caption"/>
        <w:spacing w:after="240"/>
      </w:pPr>
      <w:r>
        <w:t>Figur 1. Fyndplatser för naturvårdsarter i och inom 9 meter från avverkningsanmälan. Markörer utan svart kant är placerade på fyndplatsen. Markörer med svart kant är placerade vid sidan av fyndplatsen och har ett svart streck som visar fyndplatsens exakta position. Kartans mittpunktskoordinat är N 6940864, E 368082 i SWEREF 99 TM.</w:t>
      </w:r>
    </w:p>
    <w:p>
      <w:r>
        <w:t>I och inom 9 meter från avverkningsanmälan finns fynd av 26 naturvårdsarter, varav 13 är rödlistade, 7 är fridlysta, 16 är typiska (T) och 8 är signalarter (S): garnlav (VU, T), skuggnål (VU), gammelgransskål (NT, T), harticka (NT, T), luddfingersvamp (NT), rutspindling (NT), rödbrun blekspik (NT, T), sotvaxskivling (NT), tretåig hackspett (NT, T, §4), ullticka (NT, T), vedskivlav (NT, T), vitgrynig nållav (NT), vitterspindling (NT), gytterlav (S, T), kambräken (S, T), korallblylav (S, T), spindelblomster (S, T, §8), stuplav (S, T), svavelriska (S), vågbandad barkbock (S), ögonpyrola (S, T), järpe (T, §4), mattlummer (T, §9), tjäder (T, §4), fläcknycklar (§8) och ängsnycklar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 xml:space="preserve">Skuggnål (VU) </w:t>
      </w:r>
      <w:r>
        <w:t>växer främst vid basen av gamla grova granar i gamla boreala barrskogar med hög bonitet och mycket hög luftfuktighet. Minskningstakten har uppgått till 30 (20–50) % under de senaste 50 åren och överstiger gränsvärdet för Sårbar (VU) enligt A-kriteriet. (A2bc+4bc). Vid skogliga inventeringar är skuggnål en art som måste eftersökas och dess växtplatser ska bedömas som nyckelbiotoper (SLU Artdatabanken, 2024).</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Luddfingersvamp (NT)</w:t>
      </w:r>
      <w:r>
        <w:t xml:space="preserve"> påträffas på mineralrik mark i granskog med mycket hög luftfuktighet, t.ex. vid källflöden, fuktdråg, bäckar eller i anslutning till vattenfall och forsdimma. Arten är mycket uttorkningskänslig och kräver granskogsmiljöer med konstant mycket hög luftfuktighet. Den tål inte en slutavverkning eller någon form av dränering som påverkar växtplatsens hydrologi (SLU Artdatabanken, 2024).</w:t>
      </w:r>
    </w:p>
    <w:p>
      <w:r>
        <w:rPr>
          <w:b/>
        </w:rPr>
        <w:t>Rutspindling (NT)</w:t>
      </w:r>
      <w:r>
        <w:t xml:space="preserve"> bildar mykorrhiza med gran, i ängsgranskog på fuktig näringsrik mark. Iögonfallande och lätt identifierbar art där lukten på skivorna påminner om lingon. Populationerna minskar genom pågående kraftig kalavverkning av äldre granskogar av denna typ (SLU Artdatabanken, 2024).</w:t>
      </w:r>
    </w:p>
    <w:p>
      <w:r>
        <w:rPr>
          <w:b/>
        </w:rPr>
        <w:t>Rödbrun blekspik (NT)</w:t>
      </w:r>
      <w:r>
        <w:t xml:space="preserve"> växer i norra Sverige på bark och ved av björk och gran i skogar med hög och jämn luftfuktighet. I södra Sverige växer den främst på ek i öppna åldriga lövskogar. I norra delen av sitt utbredningsområde hotas arten av slutavverkningar av gamla granskogar. I den södra delen av landet hotas den genom de åldriga lövskogarnas tillbakagång och särskilt ekhagarnas igenväxning och genom plantering av sådan mark med barrskog. Rödbrun blekspik är typisk art för </w:t>
      </w:r>
      <w:r>
        <w:rPr>
          <w:i/>
        </w:rPr>
        <w:t xml:space="preserve">9010 Taiga, 9020 Nordlig ädellövskog, 9070 Trädklädd betesmark, 9160 Näringsrik ekskog </w:t>
      </w:r>
      <w:r>
        <w:t xml:space="preserve">och </w:t>
      </w:r>
      <w:r>
        <w:rPr>
          <w:i/>
        </w:rPr>
        <w:t>9180 Ädellövskog i branter</w:t>
      </w:r>
      <w:r>
        <w:t xml:space="preserve"> och signalerar alltid höga naturvärden (SLU Artdatabanken, 2024; Nitare &amp; Skogsstyrelsen, 2019).</w:t>
      </w:r>
    </w:p>
    <w:p>
      <w:r>
        <w:rPr>
          <w:b/>
        </w:rPr>
        <w:t>Sotvaxskivling (NT)</w:t>
      </w:r>
      <w:r>
        <w:t xml:space="preserve"> bildar mykorrhiza med gran och tall i barrskogar med lång trädkontinuitet. Den totala populationen i landet har minskat och bedöms fortsätta minska till följd av avverkning av äldre barrskogar. Arten har begränsad förmåga att återetablera sig efter slutavverkning eller andra storskaliga skogsbruksåtgärder. Det finns inga indikationer på att den långsiktigt kan etablera eller reproducera sig i skogsbestånd som brukas med trakthyggesmetoder, markberedning, gödsling eller föryngring med förädlat plantmaterial (SLU Artdatabanken, 2026).</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Vitterspindling (NT)</w:t>
      </w:r>
      <w:r>
        <w:t xml:space="preserve"> bildar mykorrhiza med gran i äldre ängsgranskog, ofta i sluttningar på fuktig mark. Dessa äldre fuktiga granskogar avverkas idag i stor utsträckning och antalet lokaler minskar stadigt. Arten har begränsad förmåga att återetablera sig efter slutavverkning eller andra storskaliga skogsbruksåtgärder, och det finns inga indikationer på att den långsiktigt kan etablera eller reproducera sig i bestånd som brukas med trakthyggesmetoder, markberedning, gödsling eller förädlat plantmaterial. Minskningstakten för den svenska populationen bedöms vara nära gränsvärdet för Sårbar (VU) (SLU Artdatabanken, 2026).</w:t>
      </w:r>
    </w:p>
    <w:p>
      <w:r>
        <w:rPr>
          <w:b/>
        </w:rPr>
        <w:t xml:space="preserve">Gytterlav </w:t>
      </w:r>
      <w:r>
        <w:t xml:space="preserve">signalerar höga naturvärden i södra och mellersta Sverige, samt längs Norrlands kustland. Förekomster i söder, framför allt på trädstammar, är en indikation på gammal skogsmark med långvarig förekomst av äldre lövträd i miljöer med hög och jämn luftfuktighet. Gytterlav är typisk art för </w:t>
      </w:r>
      <w:r>
        <w:rPr>
          <w:i/>
        </w:rPr>
        <w:t xml:space="preserve">9040 Fjällbjörkskog </w:t>
      </w:r>
      <w:r>
        <w:t>(Nitare &amp; Skogsstyrelsen, 2019; SLU Artdatabanken, 2025).</w:t>
      </w:r>
    </w:p>
    <w:p>
      <w:r>
        <w:rPr>
          <w:b/>
        </w:rPr>
        <w:t>Kambräken</w:t>
      </w:r>
      <w:r>
        <w:t xml:space="preserve"> är i mellersta och östra Sverige en bra signalart som indikerar fuktiga skogsmiljöer med höga naturvärden. Ofta rör det sig om reliktförekomster i kontinuitetsskogar på källpåverkade marker och marker med ytligt rörligt markvatten. Växten är i mellersta och östra Sverige starkt känslig för avverkning som kan medföra ökad frostrisk på växtplatsen liksom alla former av markavvattning och körskador. Kambräken är typisk art för </w:t>
      </w:r>
      <w:r>
        <w:rPr>
          <w:i/>
        </w:rPr>
        <w:t xml:space="preserve">9040 Fjällbjörkskog </w:t>
      </w:r>
      <w:r>
        <w:t xml:space="preserve">och </w:t>
      </w:r>
      <w:r>
        <w:rPr>
          <w:i/>
        </w:rPr>
        <w:t>7160 Källor och källkärr</w:t>
      </w:r>
      <w:r>
        <w:t xml:space="preserve"> (Nitare &amp; Skogsstyrelsen, 2019; SLU Artdatabanken, 2025).</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Korallblylav är typisk art för </w:t>
      </w:r>
      <w:r>
        <w:rPr>
          <w:i/>
        </w:rPr>
        <w:t xml:space="preserve">9020 Nordlig ädellövskog, 9070 Trädklädd betesmark, 9160 Näringsrik ekskog, 9180 Ädellövskog i branter </w:t>
      </w:r>
      <w:r>
        <w:t>och</w:t>
      </w:r>
      <w:r>
        <w:rPr>
          <w:i/>
        </w:rPr>
        <w:t xml:space="preserve"> 9190 Näringsfattig ekskog</w:t>
      </w:r>
      <w:r>
        <w:t xml:space="preserve"> (SLU Artdatabanken, 2024; Nitare &amp; Skogsstyrelsen, 2019).</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 xml:space="preserve">Vågbandad barkbock </w:t>
      </w:r>
      <w:r>
        <w:t>är en långhorning vars larvutveckling sker under bark på nyligen döda stående barrträd, främst gran, mer undantagsvis på tall. Främst i stående träd, särskilt gamla, långsamvuxna granar med grov bark, även i grövre grenar, stubbar eller vindfällen. Arten är starkt knuten till naturskogsliknande granskogar, och gynnas av extrema torrsomrar som försvagar träden. Arten påverkas negativt av brist på kontinuitetsskog och en minskning av populationen pågår eller förväntas ske (SLU Artdatabanken, 2025).</w:t>
      </w:r>
    </w:p>
    <w:p>
      <w:r>
        <w:rPr>
          <w:b/>
        </w:rPr>
        <w:t xml:space="preserve">Ögonpyrola </w:t>
      </w:r>
      <w:r>
        <w:t xml:space="preserve">är normalt en bra signalart som visar på områden med höga naturvärden och stabila förhållanden, särskilt inom näringsfattiga trakter. Växten är mycket känslig för markskador och försvinner snabbt efter slutavverkning. Den hotas också av skogsgödsling och markavvattning. Ögonpyrola är typisk art för </w:t>
      </w:r>
      <w:r>
        <w:rPr>
          <w:i/>
        </w:rPr>
        <w:t>9010 Taiga</w:t>
      </w:r>
      <w:r>
        <w:t xml:space="preserve"> och</w:t>
      </w:r>
      <w:r>
        <w:rPr>
          <w:i/>
        </w:rPr>
        <w:t xml:space="preserve"> 9070 Trädklädd betesmark</w:t>
      </w:r>
      <w:r>
        <w:t xml:space="preserve"> (Nitare &amp; Skogsstyrelsen, 2019; SLU Artdatabanken, 2024).</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r>
        <w:rPr>
          <w:b/>
        </w:rPr>
        <w:t>Mattlummer (§9)</w:t>
      </w:r>
      <w:r>
        <w:t xml:space="preserve"> är typisk art för </w:t>
      </w:r>
      <w:r>
        <w:rPr>
          <w:i/>
        </w:rPr>
        <w:t xml:space="preserve">9010 Taiga </w:t>
      </w:r>
      <w:r>
        <w:t>(SLU Artdatabanken, 2025).</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6.4.1 </w:t>
      </w:r>
      <w:r>
        <w:t>Följande biotoper undantas från alla skogsbruksåtgärder, förutom åtgärder påkallade för att bevara eller främja biotopens naturliga eller hävdbetingade biologiska mångfald:</w:t>
      </w:r>
    </w:p>
    <w:p>
      <w:pPr>
        <w:ind w:left="357"/>
      </w:pPr>
      <w:r>
        <w:t>b) nyckelbiotoper enligt Skogsstyrelsens definition och metod (1995)</w:t>
      </w:r>
    </w:p>
    <w:p>
      <w:pPr>
        <w:pStyle w:val="ListBullet"/>
      </w:pPr>
      <w:r>
        <w:rPr>
          <w:b/>
          <w:i/>
        </w:rPr>
        <w:t xml:space="preserve">Kommentar: </w:t>
      </w:r>
      <w:r>
        <w:rPr>
          <w:i/>
        </w:rPr>
        <w:t>I det avverkningsanmälda skogsområdet har 21 rödlistade arter och signalarter påträffats. Detta ska jämföras med Skogsstyrelsens uppföljning 2017 av nyckelbiotoper som visade att man i genomsnitt hittar 20,6 olika rödlistade arter och signalarter i en nyckelbiotop (Wijk, S. 2017. Biologisk mångfald i nyckelbiotoper – Resultat från inventeringen “Uppföljning biologisk mångfald” 2009–2015. Rapport 4/2017 Skogsstyrelsen, Jönköping).</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26 naturvårdsarter varav 13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