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grönfink (EN, §4), barrtryffel (VU), laxporing (VU), liten sotlav (VU), myrstarr (VU), rynkskinn (VU), sprickporing (VU), tallbit (VU, §4), baltiskt skogsfly (NT), doftskinn (NT), gammelgransskål (NT), garnlav (NT), granticka (NT), gränsticka (NT), harticka (NT), knottrig blåslav (NT), rödbrun blekspik (NT), spillkråka (NT, §4), stjärntagging (NT), talltita (NT, §4), tretåig hackspett (NT, §4), ullticka (NT), vitgrynig nållav (NT), vitskaftad svartspik (NT), kornig nållav (S), trådticka (S), vedticka (S), ögonpyrola (S), lavskrika (§4), sparvuggla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Barrtryffel (VU)</w:t>
      </w:r>
      <w:r>
        <w:t xml:space="preserve"> växer nere i tjock barrförna under gran i blåbärs- och ängsgranskog samt fjällgranskog. Bildar underjordiska eller något uppstickande, tryffelliknande fruktkroppar. Synes vara knuten till skogar med höga naturvärden och är endast funnen med i ett fåtal på varje lokal. Det är troligt att artens växtplats förstörs vid en kalavverkning. Arten kan också vara känslig mot gallring och mot de markförändringar som orsakas av skogsmaskiner, liksom av markavvattning. Samtliga kända växtplatser måste skyddas mot kalavverkning och markavvattning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tallbit (VU, §4), spillkråka (NT, §4), talltita (NT, §4), tretåig hackspett (NT, §4), lavskrika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