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46633-2023 i Härjedalens kommun</w:t>
      </w:r>
    </w:p>
    <w:p>
      <w:r>
        <w:t>Detta klagomål behandlar höga naturvärden i avverkningsanmälan A 46633-2023 i Härjedalens kommun som inkom 2023-09-29 och omfattar 13,3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46633-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6853110, E 475088 i SWEREF 99 TM.</w:t>
      </w:r>
    </w:p>
    <w:p>
      <w:r>
        <w:t>I och inom 21 meter från avverkningsanmälan finns fynd av 17 naturvårdsarter, varav 9 är rödlistade, 6 är fridlysta, 12 är typiska (T) och 6 är signalarter (S): garnlav (VU, T), knärot (VU, T, §8), dvärgbägarlav (NT, T), lunglav (NT, T), nordtagging (NT), skrovellav (NT, T), talltita (NT, §4), vaddporing (NT), violettgrå tagellav (NT, T), bårdlav (S, T), korallblylav (S, T), korallrot (S, T, §8), spindelblomster (S, T, §8), stuplav (S, T), vedticka (S, T), huggorm (§6)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145 fyndplatser för knärot registrerade på Artportalen. Figur 2 visar gränserna för buffertzoner på 50 m, som behöver lämnas kring fyndplatserna för att knärotslokalerna inte ska försvinna vid en avverkning. Av det avverkningsanmälda området överlappar 10.60 ha med buffertzonerna och får av detta skäl inte avverkas.</w:t>
      </w:r>
    </w:p>
    <w:p>
      <w:pPr>
        <w:pStyle w:val="Caption"/>
      </w:pPr>
      <w:r>
        <w:drawing>
          <wp:inline xmlns:a="http://schemas.openxmlformats.org/drawingml/2006/main" xmlns:pic="http://schemas.openxmlformats.org/drawingml/2006/picture">
            <wp:extent cx="5486400" cy="6188149"/>
            <wp:docPr id="2" name="Picture 2"/>
            <wp:cNvGraphicFramePr>
              <a:graphicFrameLocks noChangeAspect="1"/>
            </wp:cNvGraphicFramePr>
            <a:graphic>
              <a:graphicData uri="http://schemas.openxmlformats.org/drawingml/2006/picture">
                <pic:pic>
                  <pic:nvPicPr>
                    <pic:cNvPr id="0" name="A 46633-2023 karta knärot.png"/>
                    <pic:cNvPicPr/>
                  </pic:nvPicPr>
                  <pic:blipFill>
                    <a:blip r:embed="rId17"/>
                    <a:stretch>
                      <a:fillRect/>
                    </a:stretch>
                  </pic:blipFill>
                  <pic:spPr>
                    <a:xfrm>
                      <a:off x="0" y="0"/>
                      <a:ext cx="5486400" cy="61881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6853110, E 475088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