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136-2025 i Härjedalens kommun</w:t>
      </w:r>
    </w:p>
    <w:p>
      <w:r>
        <w:t>Denna tillsynsbegäran behandlar höga naturvärden i avverkningsanmälan A 136-2025 i Härjedalens kommun som inkom 2025-01-02 och omfattar 10,6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6866738, E 470930 i SWEREF 99 TM.</w:t>
      </w:r>
    </w:p>
    <w:p>
      <w:r>
        <w:t>I och inom 22 meter från avverkningsanmälan finns fynd av 20 naturvårdsarter, varav 18 är rödlistade, 4 är fridlysta, 13 är typiska (T) och 1 är signalart (S): doftticka (VU, T, §8), garnlav (VU, T), knärot (VU, T, §8), blanksvart spiklav (NT), blågrå svartspik (NT), dropptaggsvamp (NT, T), dvärgbägarlav (NT, T), knottrig blåslav (NT, T), kolflarnlav (NT, T), lunglav (NT, T), motaggsvamp (NT, T), mörk kolflarnlav (NT), skarp dropptaggsvamp (NT), skrovellav (NT, T), talltita (NT, §4), vedflamlav (NT), vedskivlav (NT, T), violettgrå tagellav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491688"/>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491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dvärgbägarlav (NT, T), knottrig blåslav (NT, T), kolflarnlav (NT, T), lunglav (NT, T), motaggsvamp (NT, T), skrovellav (NT, T), vedskivlav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