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2405-2026 i Härjedalens kommun</w:t>
      </w:r>
    </w:p>
    <w:p>
      <w:r>
        <w:t>Denna tillsynsbegäran behandlar höga naturvärden i samrådsanmälan S 2405-2026 i Härjedalens kommun som inkom 2026-09-14 och omfattar 14,3 ha.</w:t>
      </w:r>
    </w:p>
    <w:p>
      <w:pPr>
        <w:pStyle w:val="Caption"/>
      </w:pPr>
      <w:r>
        <w:drawing>
          <wp:inline xmlns:a="http://schemas.openxmlformats.org/drawingml/2006/main" xmlns:pic="http://schemas.openxmlformats.org/drawingml/2006/picture">
            <wp:extent cx="5486400" cy="4649221"/>
            <wp:docPr id="1" name="Picture 1"/>
            <wp:cNvGraphicFramePr>
              <a:graphicFrameLocks noChangeAspect="1"/>
            </wp:cNvGraphicFramePr>
            <a:graphic>
              <a:graphicData uri="http://schemas.openxmlformats.org/drawingml/2006/picture">
                <pic:pic>
                  <pic:nvPicPr>
                    <pic:cNvPr id="0" name="S 2405-2026 karta.png"/>
                    <pic:cNvPicPr/>
                  </pic:nvPicPr>
                  <pic:blipFill>
                    <a:blip r:embed="rId16"/>
                    <a:stretch>
                      <a:fillRect/>
                    </a:stretch>
                  </pic:blipFill>
                  <pic:spPr>
                    <a:xfrm>
                      <a:off x="0" y="0"/>
                      <a:ext cx="5486400" cy="4649221"/>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6852899, E 476773 i SWEREF 99 TM.</w:t>
      </w:r>
    </w:p>
    <w:p>
      <w:r>
        <w:t>I och inom 25 meter från samrådsanmälan finns fynd av 15 naturvårdsarter, varav 11 är rödlistade, 3 är fridlysta och 11 är typiska (T): garnlav (VU, T), knärot (VU, T, §8), blågrå svartspik (NT), dropptaggsvamp (NT, T), kolflarnlav (NT, T), lunglav (NT, T), mörk kolflarnlav (NT), skuggblåslav (NT, T), vedflamlav (NT), vedskivlav (NT, T), violettgrå tagellav (NT, T), ormbär (T), tjäder (T, §4), torta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1.51 ha med buffertzonerna och får av detta skäl inte avverkas.</w:t>
      </w:r>
    </w:p>
    <w:p>
      <w:pPr>
        <w:pStyle w:val="Caption"/>
      </w:pPr>
      <w:r>
        <w:drawing>
          <wp:inline xmlns:a="http://schemas.openxmlformats.org/drawingml/2006/main" xmlns:pic="http://schemas.openxmlformats.org/drawingml/2006/picture">
            <wp:extent cx="5486400" cy="5858871"/>
            <wp:docPr id="2" name="Picture 2"/>
            <wp:cNvGraphicFramePr>
              <a:graphicFrameLocks noChangeAspect="1"/>
            </wp:cNvGraphicFramePr>
            <a:graphic>
              <a:graphicData uri="http://schemas.openxmlformats.org/drawingml/2006/picture">
                <pic:pic>
                  <pic:nvPicPr>
                    <pic:cNvPr id="0" name="S 2405-2026 karta knärot.png"/>
                    <pic:cNvPicPr/>
                  </pic:nvPicPr>
                  <pic:blipFill>
                    <a:blip r:embed="rId17"/>
                    <a:stretch>
                      <a:fillRect/>
                    </a:stretch>
                  </pic:blipFill>
                  <pic:spPr>
                    <a:xfrm>
                      <a:off x="0" y="0"/>
                      <a:ext cx="5486400" cy="585887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6852899, E 476773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Ormbär</w:t>
      </w:r>
      <w:r>
        <w:t xml:space="preserve"> är typisk art för </w:t>
      </w:r>
      <w:r>
        <w:rPr>
          <w:i/>
        </w:rPr>
        <w:t xml:space="preserve">9050 Näringsrik granskog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dropptaggsvamp (NT, T), kolflarnlav (NT, T), lunglav (NT, T), skuggblåslav (NT, T), vedskivlav (NT, T), violettgrå tagellav (NT, T), ormbär (T), tjäder (T, §4) och torta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