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7097-2022 i Härjedalens kommun</w:t>
      </w:r>
    </w:p>
    <w:p>
      <w:r>
        <w:t>Denna tillsynsbegäran behandlar höga naturvärden i samrådsanmälan S 7097-2022 i Härjedalens kommun som inkom 2022-12-14 och omfattar 101,8 ha.</w:t>
      </w:r>
    </w:p>
    <w:p>
      <w:pPr>
        <w:pStyle w:val="Caption"/>
      </w:pPr>
      <w:r>
        <w:drawing>
          <wp:inline xmlns:a="http://schemas.openxmlformats.org/drawingml/2006/main" xmlns:pic="http://schemas.openxmlformats.org/drawingml/2006/picture">
            <wp:extent cx="5486400" cy="5109328"/>
            <wp:docPr id="1" name="Picture 1"/>
            <wp:cNvGraphicFramePr>
              <a:graphicFrameLocks noChangeAspect="1"/>
            </wp:cNvGraphicFramePr>
            <a:graphic>
              <a:graphicData uri="http://schemas.openxmlformats.org/drawingml/2006/picture">
                <pic:pic>
                  <pic:nvPicPr>
                    <pic:cNvPr id="0" name="S 7097-2022 karta.png"/>
                    <pic:cNvPicPr/>
                  </pic:nvPicPr>
                  <pic:blipFill>
                    <a:blip r:embed="rId16"/>
                    <a:stretch>
                      <a:fillRect/>
                    </a:stretch>
                  </pic:blipFill>
                  <pic:spPr>
                    <a:xfrm>
                      <a:off x="0" y="0"/>
                      <a:ext cx="5486400" cy="5109328"/>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6898211, E 421875 i SWEREF 99 TM.</w:t>
      </w:r>
    </w:p>
    <w:p>
      <w:r>
        <w:t>I och inom 23 meter från samrådsanmälan finns fynd av 8 naturvårdsarter, varav 8 är rödlistade och 4 är typiska (T): urskogsporing (EN), urskogsticka (EN), fläckporing (VU, T), gräddporing (VU, T), blå taggsvamp (NT, T), dropptaggsvamp (NT, T), nordtagging (NT)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Urskogsticka (EN)</w:t>
      </w:r>
      <w:r>
        <w:t xml:space="preserve"> är en starkt hotad art som växer på lågor och högstubbar av tall, ofta på bränd ved och på träd av grova dimensioner. Den förekommer enbart i gamla naturskogsartade barrskogsbestånd på torrare mark och med dominans för tall. Sannolikt krävs att man helt avstår från skogsbruk på aktuella lokaler. Arten tycks särskilt beroende av att de grova dimensionerna finns kvar i bestånden liksom att det sker en kontinuerlig nybildning av grov ved. Arten gynnas troligen av skogsbrand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