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34369-2026 i Härjedalens kommun</w:t>
      </w:r>
    </w:p>
    <w:p>
      <w:r>
        <w:t>Detta klagomål behandlar höga naturvärden i avverkningsanmälan A 34369-2026 i Härjedalens kommun som inkom 2026-08-20 och omfattar 2,4 ha.</w:t>
      </w:r>
    </w:p>
    <w:p>
      <w:pPr>
        <w:pStyle w:val="Caption"/>
      </w:pPr>
      <w:r>
        <w:drawing>
          <wp:inline xmlns:a="http://schemas.openxmlformats.org/drawingml/2006/main" xmlns:pic="http://schemas.openxmlformats.org/drawingml/2006/picture">
            <wp:extent cx="5486400" cy="4673719"/>
            <wp:docPr id="1" name="Picture 1"/>
            <wp:cNvGraphicFramePr>
              <a:graphicFrameLocks noChangeAspect="1"/>
            </wp:cNvGraphicFramePr>
            <a:graphic>
              <a:graphicData uri="http://schemas.openxmlformats.org/drawingml/2006/picture">
                <pic:pic>
                  <pic:nvPicPr>
                    <pic:cNvPr id="0" name="A 34369-2026 karta.png"/>
                    <pic:cNvPicPr/>
                  </pic:nvPicPr>
                  <pic:blipFill>
                    <a:blip r:embed="rId16"/>
                    <a:stretch>
                      <a:fillRect/>
                    </a:stretch>
                  </pic:blipFill>
                  <pic:spPr>
                    <a:xfrm>
                      <a:off x="0" y="0"/>
                      <a:ext cx="5486400" cy="4673719"/>
                    </a:xfrm>
                    <a:prstGeom prst="rect"/>
                  </pic:spPr>
                </pic:pic>
              </a:graphicData>
            </a:graphic>
          </wp:inline>
        </w:drawing>
      </w:r>
    </w:p>
    <w:p>
      <w:pPr>
        <w:pStyle w:val="Caption"/>
        <w:spacing w:after="240"/>
      </w:pPr>
      <w:r>
        <w:t>Figur 1. Fyndplatser för naturvårdsarter inom 17 meter från avverkningsanmälan. Markörer utan svart kant är placerade på fyndplatsen. Markörer med svart kant är placerade vid sidan av fyndplatsen och har ett svart streck som visar fyndplatsens exakta position. Kartans mittpunktskoordinat är N 6934098, E 376271 i SWEREF 99 TM.</w:t>
      </w:r>
    </w:p>
    <w:p>
      <w:r>
        <w:t>Inom 17 meter från avverkningsanmälan finns fynd av 2 naturvårdsarter, varav 2 är fridlysta, 1 är typisk (T) och 1 är signalart (S): korallrot (S, T, §8) och brudsporre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Korallrot (§8)</w:t>
      </w:r>
      <w:r>
        <w:t xml:space="preserve"> växer i sumpskogar och annan fuktig eller växelfuktig skogsmark, exempelvis i alkärr och kärrkanter, fuktiga bäckdalar, raviner, myrlaggar, sumpiga strandskogar samt i fuktiga lundar. Den visar på mer eller mindre stabila förhållanden och intakt hydrologi och är känslig för avverkning, körskador, skogsgödsling och dikning. Korallrot är typisk art för </w:t>
      </w:r>
      <w:r>
        <w:rPr>
          <w:i/>
        </w:rPr>
        <w:t>9080 Lövsumpskog</w:t>
      </w:r>
      <w:r>
        <w:t xml:space="preserve"> och fridlyst enligt 8 § artskyddsförordningen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