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28769-2022 i Härjedalens kommun</w:t>
      </w:r>
    </w:p>
    <w:p>
      <w:r>
        <w:t>Denna tillsynsbegäran behandlar höga naturvärden i avverkningsanmälan A 28769-2022 i Härjedalens kommun som inkom 2022-07-07 och omfattar 9,9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8769-2022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6940864, E 368082 i SWEREF 99 TM.</w:t>
      </w:r>
    </w:p>
    <w:p>
      <w:r>
        <w:t>I och inom 9 meter från avverkningsanmälan finns fynd av 26 naturvårdsarter, varav 13 är rödlistade, 7 är fridlysta, 16 är typiska (T) och 8 är signalarter (S): garnlav (VU, T), skuggnål (VU), gammelgransskål (NT, T), harticka (NT, T), luddfingersvamp (NT), rutspindling (NT), rödbrun blekspik (NT, T), sotvaxskivling (NT), tretåig hackspett (NT, T, §4), ullticka (NT, T), vedskivlav (NT, T), vitgrynig nållav (NT), vitterspindling (NT), gytterlav (S, T), kambräken (S, T), korallblylav (S, T), spindelblomster (S, T, §8), stuplav (S, T), svavelriska (S), vågbandad barkbock (S), ögonpyrola (S, T), järpe (T, §4), mattlummer (T, §9), tjäder (T, §4),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Vitterspindling (NT)</w:t>
      </w:r>
      <w:r>
        <w:t xml:space="preserve"> bildar mykorrhiza med gran i äldre ängsgranskog, ofta i sluttningar på fuktig mark. Dessa äldre fuktiga granskogar avverkas idag i stor utsträckning och antalet lokaler minskar stadigt.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rödbrun blekspik (NT, T), tretåig hackspett (NT, T, §4), ullticka (NT, T), vedskivlav (NT, T), gytterlav (S, T), kambräken (S, T), korallblylav (S, T), spindelblomster (S, T, §8), stuplav (S, T), ögonpyrola (S, T), järpe (T, §4),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