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56437-2025 i Härjedalens kommun</w:t>
      </w:r>
    </w:p>
    <w:p>
      <w:r>
        <w:t>Denna tillsynsbegäran behandlar höga naturvärden i avverkningsanmälan A 56437-2025 i Härjedalens kommun som inkom 2025-11-14 och omfattar 12,6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56437-2025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6952021, E 439347 i SWEREF 99 TM.</w:t>
      </w:r>
    </w:p>
    <w:p>
      <w:r>
        <w:t>I och inom 24 meter från avverkningsanmälan finns fynd av 19 naturvårdsarter, varav 19 är rödlistade, 1 är fridlyst och 8 är typiska (T): garnlav (VU, T), goliatmusseron (VU, T), gräddporing (VU, T), laxgröppa (VU), skrovlig taggsvamp (VU), blanksvart spiklav (NT), blå taggsvamp (NT, T), dropptaggsvamp (NT, T), dvärgbägarlav (NT, T), kådvaxskinn (NT), nordtagging (NT), orange taggsvamp (NT, T), skarp dropptaggsvamp (NT), tallriska (NT), talltagel (NT, T), talltaggsvamp (NT), talltita (NT, §4), vaddporing (NT)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goliatmusseron (VU, T), gräddporing (VU, T), blå taggsvamp (NT, T), dropptaggsvamp (NT, T), dvärgbägarlav (NT, T), orange taggsvamp (NT, T) och talltagel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