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28769-2022 i Härjedalens kommun</w:t>
      </w:r>
    </w:p>
    <w:p>
      <w:r>
        <w:t>Detta dokument behandlar höga naturvärden i avverkningsanmälan A 28769-2022 i Härjedalens kommun. Denna avverkningsanmälan inkom 2022-07-07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gammelgransskål (NT), garnlav (NT), granticka (NT), harticka (NT), järpe (NT, §4), luddfingersvamp (NT), rutspindling (NT), rödbrun blekspik (NT), tretåig hackspett (NT, §4), ullticka (NT), vitgrynig nållav (NT), vitterspindling (NT), gytterlav (S), kambräken (S), korallblylav (S), spindelblomster (S, §8), stuplav (S), svavelriska (S), vågbandad barkbock (S), ögonpyrola (S), fläcknycklar (§8), ängsnycklar (§8) och mattlummer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28769-2022 karta.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6940864, E 368082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Rutspindling (NT)</w:t>
      </w:r>
      <w:r>
        <w:t xml:space="preserve"> bildar mykorrhiza med gran, i ängsgranskog på fuktig näringsrik mark. Iögonfallande och lätt identifierbar art där lukten på skivorna påminner om lingon. Populationerna minskar genom pågående kraftig kalavverkning av äldre granskogar av denna typ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tretåig hackspett (NT, §4), spindelblomster (S, §8), fläcknycklar (§8), ängsnycklar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