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48281-2025 i Härjedalens kommun</w:t>
      </w:r>
    </w:p>
    <w:p>
      <w:r>
        <w:t>Detta dokument behandlar höga naturvärden i avverkningsanmälan A 48281-2025 i Härjedalens kommun. Denna avverkningsanmälan inkom 2025-10-03 14:06:45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rosenfingersvamp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48281-2025 karta.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6939763, E 370144 i SWEREF 99 TM.</w:t>
      </w:r>
    </w:p>
    <w:p>
      <w:r>
        <w:rPr>
          <w:b/>
        </w:rPr>
        <w:t xml:space="preserve">Rosenfingersvamp (NT) </w:t>
      </w:r>
      <w:r>
        <w:t>växer på kalkhaltig, gärna sandig gräsmark. Några växtplatser är längs vägkanter med lågvuxen vegetation och stort inslag av mossor. Arten förekommer även i rik löv- och blandskog. Förekomster i skogsmiljö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