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18916-2022 i Härjedalens kommun</w:t>
      </w:r>
    </w:p>
    <w:p>
      <w:r>
        <w:t>Detta dokument behandlar höga naturvärden i avverkningsanmälan A 18916-2022 i Härjedalens kommun. Denna avverkningsanmälan inkom 2022-05-09 00:00:00 och omfattar 61,8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15 naturvårdsarter hittats: doftticka (VU, §8), knärot (VU, §8), blå taggsvamp (NT), dvärgbägarlav (NT), kolflarnlav (NT), motaggsvamp (NT), orange taggsvamp (NT), skrovlig taggsvamp (NT), svart taggsvamp (NT), vedskivlav (NT), dropptaggsvamp (S), plattlummer (S, §9), rödgul trumpetsvamp (S), skarp dropptaggsvamp (S) och tjäder (§4).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660819"/>
            <wp:docPr id="1" name="Picture 1"/>
            <wp:cNvGraphicFramePr>
              <a:graphicFrameLocks noChangeAspect="1"/>
            </wp:cNvGraphicFramePr>
            <a:graphic>
              <a:graphicData uri="http://schemas.openxmlformats.org/drawingml/2006/picture">
                <pic:pic>
                  <pic:nvPicPr>
                    <pic:cNvPr id="0" name="A 18916-2022 karta.png"/>
                    <pic:cNvPicPr/>
                  </pic:nvPicPr>
                  <pic:blipFill>
                    <a:blip r:embed="rId16"/>
                    <a:stretch>
                      <a:fillRect/>
                    </a:stretch>
                  </pic:blipFill>
                  <pic:spPr>
                    <a:xfrm>
                      <a:off x="0" y="0"/>
                      <a:ext cx="5486400" cy="466081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6875086, E 467913 i SWEREF 99 TM.</w:t>
      </w:r>
    </w:p>
    <w:p>
      <w:r>
        <w:rPr>
          <w:b/>
        </w:rPr>
        <w:t xml:space="preserve">Blå taggsvamp (NT) </w:t>
      </w:r>
      <w:r>
        <w:t>är en karaktärsart i såväl örtrika kalkbarrskogar som i torra sandtallskogar där det föreligger gammal skog med långvarig trädkontinuitet. Är sällsynt och mycket kravfull i södra och mellersta Sverige. Den hotas främst av skogsavverkning och tycks försvinna efter slutavverkning, markberedning och plantering. I kalkgranskogar verkar arten vara mycket känslig. Granskogar med arten bör formellt skydddas (SLU Artdatabanken, 2024;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 xml:space="preserve">Motaggsvamp (NT) </w:t>
      </w:r>
      <w:r>
        <w:t>bildar mykorrhiza med tall i tallskog och hittas huvudsakligen i äldre, glesare skogsbestånd och hällmarksimpediment. Arten hotas främst av skogsavverkning och tycks försvinna efter slutavverkning, markberedning och plantering (SLU Artdatabanken, 2024).</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doftticka (VU, §8), knärot (VU, §8), plattlummer (S, §9)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15 fyndplatser för knärot registrerade på Artportalen. Figur 2 visar gränserna för buffertzoner på 50 m, som behöver lämnas kring fyndplatserna för att knärotslokalerna inte ska försvinna vid en avverkning. Av det avverkningsanmälda området överlappar 7.30 ha med buffertzonerna och får av detta skäl inte avverkas.</w:t>
      </w:r>
    </w:p>
    <w:p>
      <w:pPr>
        <w:pStyle w:val="Caption"/>
      </w:pPr>
      <w:r>
        <w:drawing>
          <wp:inline xmlns:a="http://schemas.openxmlformats.org/drawingml/2006/main" xmlns:pic="http://schemas.openxmlformats.org/drawingml/2006/picture">
            <wp:extent cx="5486400" cy="5780766"/>
            <wp:docPr id="2" name="Picture 2"/>
            <wp:cNvGraphicFramePr>
              <a:graphicFrameLocks noChangeAspect="1"/>
            </wp:cNvGraphicFramePr>
            <a:graphic>
              <a:graphicData uri="http://schemas.openxmlformats.org/drawingml/2006/picture">
                <pic:pic>
                  <pic:nvPicPr>
                    <pic:cNvPr id="0" name="A 18916-2022 karta knärot.png"/>
                    <pic:cNvPicPr/>
                  </pic:nvPicPr>
                  <pic:blipFill>
                    <a:blip r:embed="rId17"/>
                    <a:stretch>
                      <a:fillRect/>
                    </a:stretch>
                  </pic:blipFill>
                  <pic:spPr>
                    <a:xfrm>
                      <a:off x="0" y="0"/>
                      <a:ext cx="5486400" cy="578076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6875086, E 467913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2025-10-30</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