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38234-2025 i Härjedalens kommun</w:t>
      </w:r>
    </w:p>
    <w:p>
      <w:r>
        <w:t>Detta dokument behandlar höga naturvärden i avverkningsanmälan A 38234-2025 i Härjedalens kommun. Denna avverkningsanmälan inkom 2025-08-14 08:35:22 och omfattar 14,1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knärot (VU, §8), dvärgbägarlav (NT), garnlav (NT), kolflarnlav (NT), mörk kolflarnlav (NT), talltita (NT, §4), tretåig hackspett (NT, §4) och vedflamlav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1558"/>
            <wp:docPr id="1" name="Picture 1"/>
            <wp:cNvGraphicFramePr>
              <a:graphicFrameLocks noChangeAspect="1"/>
            </wp:cNvGraphicFramePr>
            <a:graphic>
              <a:graphicData uri="http://schemas.openxmlformats.org/drawingml/2006/picture">
                <pic:pic>
                  <pic:nvPicPr>
                    <pic:cNvPr id="0" name="A 38234-2025 karta.png"/>
                    <pic:cNvPicPr/>
                  </pic:nvPicPr>
                  <pic:blipFill>
                    <a:blip r:embed="rId16"/>
                    <a:stretch>
                      <a:fillRect/>
                    </a:stretch>
                  </pic:blipFill>
                  <pic:spPr>
                    <a:xfrm>
                      <a:off x="0" y="0"/>
                      <a:ext cx="5486400" cy="48715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6867430, E 467515 i SWEREF 99 TM.</w:t>
      </w:r>
    </w:p>
    <w:p>
      <w:r>
        <w:rPr>
          <w:b/>
        </w:rPr>
        <w:t>Dvärgbägarlav (NT)</w:t>
      </w:r>
      <w:r>
        <w:t xml:space="preserve"> förekommer över hela Sverige på gammal hård ved, huvudsakligen på tall men i södra Sverige även på ek. Veden utgörs framförallt av grova stubbar, lågor och grenar. Substratet har blivit sällsyntare och nybildning av substrat sker bara i begränsad omfattning. Arten hotas av att grova lågor blir allt sällsyntare i dagens kulturskogar samt att nybildningen av lämpliga substrat går mycket långsamt. En riklig tillgång på gamla tall- eller eklågor måste säkerställas på artens lokaler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Mörk kolflarnlav (NT)</w:t>
      </w:r>
      <w:r>
        <w:t xml:space="preserve"> är brandberoende och växer nästan uteslutande på kolad hård kärnved av tall. Arten förekommer främst i glesa, öppna tall- och blandbarrskogar av naturskogskaraktär och etableringen verkar ske sent efter brand, kanske först efter 100–300 år. Mörk kolflarnlav indikerar skog med höga naturvärden och vanligast är att den påträffas på rester av nedbrunna torrakor och högstubbar och lågstubbar som är så grova att hela innandömet är urbränt. Tall- och blandbarrskogar av naturskogskaraktär med spår av återkommande bränder hyser höga biologiska värden och bör skyddas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knärot (VU, §8), talltita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10 fyndplatser för knärot registrerade på Artportalen. Figur 2 visar gränserna för buffertzoner på 50 m, som behöver lämnas kring fyndplatserna för att knärotslokalerna inte ska försvinna vid en avverkning. Av det avverkningsanmälda området överlappar 3.07 ha med buffertzonerna och får av detta skäl inte avverkas.</w:t>
      </w:r>
    </w:p>
    <w:p>
      <w:pPr>
        <w:pStyle w:val="Caption"/>
      </w:pPr>
      <w:r>
        <w:drawing>
          <wp:inline xmlns:a="http://schemas.openxmlformats.org/drawingml/2006/main" xmlns:pic="http://schemas.openxmlformats.org/drawingml/2006/picture">
            <wp:extent cx="5486400" cy="6060030"/>
            <wp:docPr id="2" name="Picture 2"/>
            <wp:cNvGraphicFramePr>
              <a:graphicFrameLocks noChangeAspect="1"/>
            </wp:cNvGraphicFramePr>
            <a:graphic>
              <a:graphicData uri="http://schemas.openxmlformats.org/drawingml/2006/picture">
                <pic:pic>
                  <pic:nvPicPr>
                    <pic:cNvPr id="0" name="A 38234-2025 karta knärot.png"/>
                    <pic:cNvPicPr/>
                  </pic:nvPicPr>
                  <pic:blipFill>
                    <a:blip r:embed="rId17"/>
                    <a:stretch>
                      <a:fillRect/>
                    </a:stretch>
                  </pic:blipFill>
                  <pic:spPr>
                    <a:xfrm>
                      <a:off x="0" y="0"/>
                      <a:ext cx="5486400" cy="606003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6867430, E 467515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