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38726-2026 i Härjedalens kommun</w:t>
      </w:r>
    </w:p>
    <w:p>
      <w:r>
        <w:t>Detta klagomål behandlar höga naturvärden i avverkningsanmälan A 38726-2026 i Härjedalens kommun som inkom 2026-09-20 och omfattar 17,2 ha.</w:t>
      </w:r>
    </w:p>
    <w:p>
      <w:pPr>
        <w:pStyle w:val="Caption"/>
      </w:pPr>
      <w:r>
        <w:drawing>
          <wp:inline xmlns:a="http://schemas.openxmlformats.org/drawingml/2006/main" xmlns:pic="http://schemas.openxmlformats.org/drawingml/2006/picture">
            <wp:extent cx="5486400" cy="3105189"/>
            <wp:docPr id="1" name="Picture 1"/>
            <wp:cNvGraphicFramePr>
              <a:graphicFrameLocks noChangeAspect="1"/>
            </wp:cNvGraphicFramePr>
            <a:graphic>
              <a:graphicData uri="http://schemas.openxmlformats.org/drawingml/2006/picture">
                <pic:pic>
                  <pic:nvPicPr>
                    <pic:cNvPr id="0" name="A 38726-2026 karta.png"/>
                    <pic:cNvPicPr/>
                  </pic:nvPicPr>
                  <pic:blipFill>
                    <a:blip r:embed="rId16"/>
                    <a:stretch>
                      <a:fillRect/>
                    </a:stretch>
                  </pic:blipFill>
                  <pic:spPr>
                    <a:xfrm>
                      <a:off x="0" y="0"/>
                      <a:ext cx="5486400" cy="31051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6950421, E 386608 i SWEREF 99 TM.</w:t>
      </w:r>
    </w:p>
    <w:p>
      <w:r>
        <w:t>I och inom 24 meter från avverkningsanmälan finns fynd av 15 naturvårdsarter, varav 6 är rödlistade, 3 är fridlysta, 12 är typiska (T) och 7 är signalarter (S): garnlav (VU, T), gränsticka (VU, T), ladlav (NT, T), tretåig hackspett (NT, T, §4), vedflamlav (NT), vitgrynig nållav (NT), gytterlav (S, T), korallblylav (S, T), kornig nållav (S, T), mörk husmossa (S, T), norrlandslav (S, T), stuplav (S, T),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