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40322-2024 i Härjedalens kommun</w:t>
      </w:r>
    </w:p>
    <w:p>
      <w:r>
        <w:t>Detta klagomål behandlar höga naturvärden i avverkningsanmälan A 40322-2024 i Härjedalens kommun som inkom 2024-09-19 och omfattar 19,7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40322-2024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6950734, E 386502 i SWEREF 99 TM.</w:t>
      </w:r>
    </w:p>
    <w:p>
      <w:r>
        <w:t>I och inom 22 meter från avverkningsanmälan finns fynd av 18 naturvårdsarter, varav 14 är rödlistade, 2 är fridlysta, 14 är typiska (T) och 3 är signalarter (S): fläckporing (VU, T), gräddporing (VU, T), gränsticka (VU, T), blanksvart spiklav (NT), brunpudrad nållav (NT, T), gammelgransskål (NT, T), harticka (NT, T), nordlig nållav (NT), skrovellav (NT, T), tretåig hackspett (NT, T, §4), ullticka (NT, T), vedflamlav (NT), vedskivlav (NT, T), vitgrynig nållav (NT), gytterlav (S, T), mörk husmossa (S, T), norrlandslav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