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39092-2026 i Härjedalens kommun</w:t>
      </w:r>
    </w:p>
    <w:p>
      <w:r>
        <w:t>Denna tillsynsbegäran behandlar höga naturvärden i avverkningsanmälan A 39092-2026 i Härjedalens kommun som inkom 2026-09-22 och omfattar 29,8 ha.</w:t>
      </w:r>
    </w:p>
    <w:p>
      <w:pPr>
        <w:pStyle w:val="Caption"/>
      </w:pPr>
      <w:r>
        <w:drawing>
          <wp:inline xmlns:a="http://schemas.openxmlformats.org/drawingml/2006/main" xmlns:pic="http://schemas.openxmlformats.org/drawingml/2006/picture">
            <wp:extent cx="5486400" cy="3883843"/>
            <wp:docPr id="1" name="Picture 1"/>
            <wp:cNvGraphicFramePr>
              <a:graphicFrameLocks noChangeAspect="1"/>
            </wp:cNvGraphicFramePr>
            <a:graphic>
              <a:graphicData uri="http://schemas.openxmlformats.org/drawingml/2006/picture">
                <pic:pic>
                  <pic:nvPicPr>
                    <pic:cNvPr id="0" name="A 39092-2026 karta.png"/>
                    <pic:cNvPicPr/>
                  </pic:nvPicPr>
                  <pic:blipFill>
                    <a:blip r:embed="rId16"/>
                    <a:stretch>
                      <a:fillRect/>
                    </a:stretch>
                  </pic:blipFill>
                  <pic:spPr>
                    <a:xfrm>
                      <a:off x="0" y="0"/>
                      <a:ext cx="5486400" cy="3883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6921991, E 427777 i SWEREF 99 TM.</w:t>
      </w:r>
    </w:p>
    <w:p>
      <w:r>
        <w:t>I avverkningsanmälan finns fynd av 10 naturvårdsarter, varav 8 är rödlistade, 7 är typiska (T) och 2 är signalarter (S): garnlav (VU, T), dvärgbägarlav (NT, T), knottrig blåslav (NT, T), kolflarnlav (NT, T), mörk kolflarnlav (NT), nordtagging (NT), vedskivlav (NT, T), vitgrynig nållav (NT), luddlav (S,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knottrig blåslav (NT, T), kolflarnlav (NT, T), vedskivlav (NT, T), luddlav (S,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