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29 naturvårdsarter, varav 25 är rödlistade, 3 är fridlysta, 18 är typiska (T) och 3 är signalarter (S): Abrothallus diederichii (VU), fläckporing (VU, T), garnlav (VU, T), gräddporing (VU, T), knärot (VU, T, §8), baltiskt skogsfly (NT), blanksvart spiklav (NT), dropptaggsvamp (NT, T), dvärgbägarlav (NT, T), grå blåbärsfältmätare (NT), kattfotslav (NT, T), kolflarnlav (NT, T), labyrintlav (NT), lunglav (NT, T), mörk kolflarnlav (NT), nordlig nållav (NT), rosa skärelav (NT, T), rödfläckigt jordfly (NT), skarp dropptaggsvamp (NT), skrovellav (NT, T), tretåig hackspett (NT, T, §4), varglav (NT, §8), vedflamlav (NT), vedskivlav (NT, T), violettgrå tagellav (NT, T), korallblylav (S, T), norrlandslav (S, T), rostfläck (S, T) och mjölig knopplav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7.93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Mjölig knopplav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kattfotslav (NT, T), kolflarnlav (NT, T), lunglav (NT, T), rosa skärelav (NT, T), skrovellav (NT, T), tretåig hackspett (NT, T, §4), vedskivlav (NT, T), violettgrå tagellav (NT, T), korallblylav (S, T), norrlandslav (S, T), rostfläck (S, T) och mjölig knopplav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