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15 naturvårdsarter, varav 8 är rödlistade, 5 är fridlysta, 12 är typiska (T) och 6 är signalarter (S): garnlav (VU, T), knärot (VU, T, §8), dvärgbägarlav (NT, T), lunglav (NT, T), nordtagging (NT), skrovellav (NT, T), talltita (NT, §4), violettgrå tagellav (NT, T),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81 fyndplatser för knärot registrerade på Artportalen. Figur 2 visar gränserna för buffertzoner på 50 m, som behöver lämnas kring fyndplatserna för att knärotslokalerna inte ska försvinna vid en avverkning. Av det avverkningsanmälda området överlappar 8.34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