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52368-2025 i Härjedalens kommun</w:t>
      </w:r>
    </w:p>
    <w:p>
      <w:r>
        <w:t>Detta dokument behandlar höga naturvärden i avverkningsanmälan A 52368-2025 i Härjedalens kommun. Denna avverkningsanmälan inkom 2025-10-23 00:00:00 och omfattar 74,3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24 naturvårdsarter hittats: grantickeporing (VU), doftskinn (NT), garnlav (NT), granticka (NT), gränsticka (NT), halmgul örnlav (NT), knottrig blåslav (NT), rödbrun blekspik (NT), skrovellav (NT), spillkråka (NT, §4), stjärntagging (NT), tretåig hackspett (NT, §4), vitgrynig nållav (NT), bårdlav (S), gulnål (S), gytterlav (S), korallblylav (S), kornig nållav (S), luddlav (S), spindelblomster (S, §8), stuplav (S), vedticka (S), ögonpyrola (S) och lavskrika (§4).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92280"/>
            <wp:docPr id="1" name="Picture 1"/>
            <wp:cNvGraphicFramePr>
              <a:graphicFrameLocks noChangeAspect="1"/>
            </wp:cNvGraphicFramePr>
            <a:graphic>
              <a:graphicData uri="http://schemas.openxmlformats.org/drawingml/2006/picture">
                <pic:pic>
                  <pic:nvPicPr>
                    <pic:cNvPr id="0" name="A 52368-2025 karta.png"/>
                    <pic:cNvPicPr/>
                  </pic:nvPicPr>
                  <pic:blipFill>
                    <a:blip r:embed="rId16"/>
                    <a:stretch>
                      <a:fillRect/>
                    </a:stretch>
                  </pic:blipFill>
                  <pic:spPr>
                    <a:xfrm>
                      <a:off x="0" y="0"/>
                      <a:ext cx="5486400" cy="38922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6951323, E 394301 i SWEREF 99 TM.</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Grantickeporing (VU)</w:t>
      </w:r>
      <w:r>
        <w:t xml:space="preserve"> växer på murken ved och döda fruktkroppar av granticka och gränsticka (VU). Den förekommer i naturskogsliknade granskogar, gärna i fuktiga miljöer vid källbäckar och liknande. Avverkning av naturskogslika miljöer och av grova granar där grantickeporing förekommer är ett direkt hot mot artens fortlevnad. Gamla granskogar som hyser arten undantas helt från skogsbruk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 xml:space="preserve">Gytterlav </w:t>
      </w:r>
      <w:r>
        <w:t xml:space="preserve">signalerar höga naturvärden i södra och mellersta Sverige, samt längs Norrlands kustland. Förekomster i söder, framför allt på trädstammar, är en indikation på gammal skogsmark med långvarig förekomst av äldre lövträd i miljöer med hög och jämn luftfuktighet. Gytterlav är typisk art för </w:t>
      </w:r>
      <w:r>
        <w:rPr>
          <w:i/>
        </w:rPr>
        <w:t xml:space="preserve">9040 Fjällbjörkskog </w:t>
      </w:r>
      <w:r>
        <w:t>(Nitare &amp; Skogsstyrelsen, 2019; SLU Artdatabanken, 2025).</w:t>
      </w:r>
    </w:p>
    <w:p>
      <w:r>
        <w:rPr>
          <w:b/>
        </w:rPr>
        <w:t>Halmgul örnlav (NT)</w:t>
      </w:r>
      <w:r>
        <w:t xml:space="preserve"> växer på bark och ved av gran och tall, oftast på riktigt gamla träd i gles boreal kontinuitetsskog eller myrkanter. Avverkning av boreal kontinuitetsskog är ett hot och skogsbruksåtgärder på eller i närheten av växtplatserna bör undvikas. Naturskogsartade skogar med förekomst av arten indikerar höga biologiska värden och bör bevaras. Särskilt angeläget är detta i naturskogsartade barrskogar. Minskningstakten för den svenska populationen bedöms vara nära gränsvärdet för Sårbar (VU) (SLU Artdatabanken, 2024).</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 xml:space="preserve">Kornig nållav </w:t>
      </w:r>
      <w:r>
        <w:t xml:space="preserve">förekommer i skuggiga miljöer med hög luftfuktighet och påträffas främst i gamla skogar eller på gamla träd. Den signalerar höga naturvärden och på lokalerna finns ofta flera ovanliga och rödlistade arter. Kornig nållav är typisk art för </w:t>
      </w:r>
      <w:r>
        <w:rPr>
          <w:i/>
        </w:rPr>
        <w:t xml:space="preserve">9110 Näringsfattig bokskog </w:t>
      </w:r>
      <w:r>
        <w:t>och</w:t>
      </w:r>
      <w:r>
        <w:rPr>
          <w:i/>
        </w:rPr>
        <w:t xml:space="preserve"> 9130 Näringsrik bokskog</w:t>
      </w:r>
      <w:r>
        <w:t xml:space="preserve"> (SLU Artdatabanken, 2024;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pPr>
        <w:pStyle w:val="Heading1"/>
      </w:pPr>
      <w:r>
        <w:t>Fridlysta arter</w:t>
      </w:r>
    </w:p>
    <w:p>
      <w:r>
        <w:t>Följande fridlysta arter har sina livsmiljöer och växtplatser i den avverkningsanmälda skogen: spillkråka (NT, §4), tretåig hackspett (NT, §4), spindelblomster (S, §8)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