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562-2024 i Härjedalens kommun</w:t>
      </w:r>
    </w:p>
    <w:p>
      <w:r>
        <w:t>Detta klagomål behandlar höga naturvärden i samrådsanmälan S 562-2024 i Härjedalens kommun som inkom 2024-02-27 och omfattar 395,9 ha.</w:t>
      </w:r>
    </w:p>
    <w:p>
      <w:pPr>
        <w:pStyle w:val="Caption"/>
      </w:pPr>
      <w:r>
        <w:drawing>
          <wp:inline xmlns:a="http://schemas.openxmlformats.org/drawingml/2006/main" xmlns:pic="http://schemas.openxmlformats.org/drawingml/2006/picture">
            <wp:extent cx="5486400" cy="3555791"/>
            <wp:docPr id="1" name="Picture 1"/>
            <wp:cNvGraphicFramePr>
              <a:graphicFrameLocks noChangeAspect="1"/>
            </wp:cNvGraphicFramePr>
            <a:graphic>
              <a:graphicData uri="http://schemas.openxmlformats.org/drawingml/2006/picture">
                <pic:pic>
                  <pic:nvPicPr>
                    <pic:cNvPr id="0" name="S 562-2024 karta.png"/>
                    <pic:cNvPicPr/>
                  </pic:nvPicPr>
                  <pic:blipFill>
                    <a:blip r:embed="rId16"/>
                    <a:stretch>
                      <a:fillRect/>
                    </a:stretch>
                  </pic:blipFill>
                  <pic:spPr>
                    <a:xfrm>
                      <a:off x="0" y="0"/>
                      <a:ext cx="5486400" cy="3555791"/>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6887627, E 511493 i SWEREF 99 TM.</w:t>
      </w:r>
    </w:p>
    <w:p>
      <w:r>
        <w:t>I och inom 24 meter från samrådsanmälan finns fynd av 8 naturvårdsarter, varav 4 är rödlistade, 5 är fridlysta och 4 är typiska (T): garnlav (VU, T), kungsörn (NT, §4), lunglav (NT, T), mörk kolflarnlav (NT), järpe (T, §4), tjäder (T, §4), orre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0 fyndplatser för knärot registrerade på Artportalen. Figur 2 visar gränserna för buffertzoner på 50 m, som behöver lämnas kring fyndplatserna för att knärotslokalerna inte ska försvinna vid en avverkning. Av det samrådsanmälda området överlappar 0.13 ha med buffertzonerna och får av detta skäl inte avverkas.</w:t>
      </w:r>
    </w:p>
    <w:p>
      <w:pPr>
        <w:pStyle w:val="Caption"/>
      </w:pPr>
      <w:r>
        <w:drawing>
          <wp:inline xmlns:a="http://schemas.openxmlformats.org/drawingml/2006/main" xmlns:pic="http://schemas.openxmlformats.org/drawingml/2006/picture">
            <wp:extent cx="5486400" cy="3318235"/>
            <wp:docPr id="2" name="Picture 2"/>
            <wp:cNvGraphicFramePr>
              <a:graphicFrameLocks noChangeAspect="1"/>
            </wp:cNvGraphicFramePr>
            <a:graphic>
              <a:graphicData uri="http://schemas.openxmlformats.org/drawingml/2006/picture">
                <pic:pic>
                  <pic:nvPicPr>
                    <pic:cNvPr id="0" name="S 562-2024 karta knärot.png"/>
                    <pic:cNvPicPr/>
                  </pic:nvPicPr>
                  <pic:blipFill>
                    <a:blip r:embed="rId17"/>
                    <a:stretch>
                      <a:fillRect/>
                    </a:stretch>
                  </pic:blipFill>
                  <pic:spPr>
                    <a:xfrm>
                      <a:off x="0" y="0"/>
                      <a:ext cx="5486400" cy="3318235"/>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6887627, E 511493 i SWEREF 99 TM.</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8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