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29 naturvårdsarter, varav 25 är rödlistade, 3 är fridlysta, 18 är typiska (T) och 3 är signalarter (S): Abrothallus diederichii (VU), fläckporing (VU, T), garnlav (VU, T), gräddporing (VU, T), knärot (VU, T, §8), baltiskt skogsfly (NT), blanksvart spiklav (NT), dropptaggsvamp (NT, T), dvärgbägarlav (NT, T), grå blåbärsfältmätare (NT), kattfotslav (NT, T), kolflarnlav (NT, T), labyrintlav (NT), lunglav (NT, T), mörk kolflarnlav (NT), nordlig nållav (NT), rosa skärelav (NT, T), rödfläckigt jordfly (NT), skarp dropptaggsvamp (NT), skrovellav (NT, T), tretåig hackspett (NT, T, §4), varglav (NT, §8), vedflamlav (NT), vedskivlav (NT, T), violettgrå tagellav (NT, T), korallblylav (S, T), norrlandslav (S, T), rostfläck (S, T) och mjölig knopplav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kattfotslav (NT, T), kolflarnlav (NT, T), lunglav (NT, T), rosa skärelav (NT, T), skrovellav (NT, T), tretåig hackspett (NT, T, §4), vedskivlav (NT, T), violettgrå tagellav (NT, T), korallblylav (S, T), norrlandslav (S, T), rostfläck (S, T) och mjölig knopplav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