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42675-2025 i Härjedalens kommun</w:t>
      </w:r>
    </w:p>
    <w:p>
      <w:r>
        <w:t>Detta dokument behandlar höga naturvärden i avverkningsanmälan A 42675-2025 i Härjedalens kommun. Denna avverkningsanmälan inkom 2025-09-08 07:37:52 och omfattar 2,1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 I BILAGA 1 finns artfakta om fridlysta och rödlistade arter.</w:t>
      </w:r>
    </w:p>
    <w:p>
      <w:pPr>
        <w:pStyle w:val="Heading1"/>
      </w:pPr>
      <w:r>
        <w:t>Naturvårdsarter</w:t>
      </w:r>
    </w:p>
    <w:p>
      <w:r>
        <w:t>I avverkningsanmälan har följande 15 naturvårdsarter hittats: knärot (VU, §8), blågrå svartspik (NT), dvärgbägarlav (NT), garnlav (NT), knottrig blåslav (NT), lunglav (NT), motaggsvamp (NT), mörk kolflarnlav (NT), skrovellav (NT), vedflamlav (NT), vedskivlav (NT), violettgrå tagellav (NT), bårdlav (S), dropptaggsvamp (S) och luddlav (S). Av dessa är 12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465285"/>
            <wp:docPr id="1" name="Picture 1"/>
            <wp:cNvGraphicFramePr>
              <a:graphicFrameLocks noChangeAspect="1"/>
            </wp:cNvGraphicFramePr>
            <a:graphic>
              <a:graphicData uri="http://schemas.openxmlformats.org/drawingml/2006/picture">
                <pic:pic>
                  <pic:nvPicPr>
                    <pic:cNvPr id="0" name="A 42675-2025 karta.png"/>
                    <pic:cNvPicPr/>
                  </pic:nvPicPr>
                  <pic:blipFill>
                    <a:blip r:embed="rId16"/>
                    <a:stretch>
                      <a:fillRect/>
                    </a:stretch>
                  </pic:blipFill>
                  <pic:spPr>
                    <a:xfrm>
                      <a:off x="0" y="0"/>
                      <a:ext cx="5486400" cy="4465285"/>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6871892, E 471294 i SWEREF 99 TM.</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Bårdlav</w:t>
      </w:r>
      <w:r>
        <w:t xml:space="preserve"> signalerar miljöer med höga naturvärden och på lokalerna finns vanligtvis många andra ovanliga och rödlistade arter. Den visar även på platser med hög och jämn luftfuktighet. På bårdlav och andra njurlavar (Nephroma) kan de sällsynta parasiterna </w:t>
      </w:r>
      <w:r>
        <w:rPr>
          <w:i/>
        </w:rPr>
        <w:t xml:space="preserve">Protounguicularia nephromatis </w:t>
      </w:r>
      <w:r>
        <w:t xml:space="preserve">(VU) och </w:t>
      </w:r>
      <w:r>
        <w:rPr>
          <w:i/>
        </w:rPr>
        <w:t xml:space="preserve">Tremella nephromatis </w:t>
      </w:r>
      <w:r>
        <w:t xml:space="preserve">(DD) påträffas. Bårdlav är typisk art för </w:t>
      </w:r>
      <w:r>
        <w:rPr>
          <w:i/>
        </w:rPr>
        <w:t xml:space="preserve">9010 Taiga, 9020 Nordlig ädellövskog, 9070 Trädklädd betesmark, 9110 Näringsfattig bokskog, 9160 Näringsrik ekskog, 9180 Ädellövskog i branter </w:t>
      </w:r>
      <w:r>
        <w:t>och</w:t>
      </w:r>
      <w:r>
        <w:rPr>
          <w:i/>
        </w:rPr>
        <w:t xml:space="preserve"> 9190 Näringsfattig ekskog</w:t>
      </w:r>
      <w:r>
        <w:t xml:space="preserve"> (SLU Artdatabanken, 2026;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Knottrig blåslav (NT)</w:t>
      </w:r>
      <w:r>
        <w:t xml:space="preserve"> har sin huvudutbredning i gamla granskogar i det övre barrskogsbältet mot fjällen. Den signalerar alltid höga naturvärden och växer i skogar med lång kontinuitet, mest i opåverkade naturskogsbestånd. Arten överlever inte en slutavverkning (inklusive hänsyn) och den finns idag enbart i kontinuitetsskog. Lavens fortsatta förekomst bör säkerställas genom att lokaler med äldre barrskog skyddas. Knottrig blåslav är typisk art för </w:t>
      </w:r>
      <w:r>
        <w:rPr>
          <w:i/>
        </w:rPr>
        <w:t xml:space="preserve">9010 Taiga </w:t>
      </w:r>
      <w:r>
        <w:t>och</w:t>
      </w:r>
      <w:r>
        <w:rPr>
          <w:i/>
        </w:rPr>
        <w:t xml:space="preserve"> 9040 Fjällbjörkskog</w:t>
      </w:r>
    </w:p>
    <w:p>
      <w:r>
        <w:t>(SLU Artdatabanken, 2024; Nitare &amp; Skogsstyrelsen, 2019).</w:t>
      </w:r>
    </w:p>
    <w:p>
      <w:r>
        <w:rPr>
          <w:b/>
        </w:rPr>
        <w:t>Luddlav</w:t>
      </w:r>
      <w:r>
        <w:t xml:space="preserve"> signalerar lång skoglig kontinuitet med ett stabilt lokal- och mikroklimat med hög och jämn fuktighet. Luddlav är typisk art för </w:t>
      </w:r>
      <w:r>
        <w:rPr>
          <w:i/>
        </w:rPr>
        <w:t>9010 Taiga,</w:t>
      </w:r>
      <w:r>
        <w:t xml:space="preserve"> </w:t>
      </w:r>
      <w:r>
        <w:rPr>
          <w:i/>
        </w:rPr>
        <w:t xml:space="preserve">9020 Nordlig ädellövskog, 9070 Trädklädd betesmark, 9110 Näringsfattig bokskog, 9180 Ädellövskog i branter </w:t>
      </w:r>
      <w:r>
        <w:t>och</w:t>
      </w:r>
      <w:r>
        <w:rPr>
          <w:i/>
        </w:rPr>
        <w:t xml:space="preserve"> 9190 Näringsfattig ekskog </w:t>
      </w:r>
      <w:r>
        <w:t>(Nitare &amp; Skogsstyrelsen, 2019; SLU Artdatabanken, 2025).</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Violettgrå tagellav (NT)</w:t>
      </w:r>
      <w:r>
        <w:t xml:space="preserve"> växer nästan uteslutande i gamla olikåldriga barrnaturskogar med lång skoglig kontinuitet och är en utmärkt signal på skog med höga naturvärden. Slutavverkning av tidigare aldrig slutavverkad skog (kontinuitetsskog) är det största hotet. Biotopen nyskapas i begränsad omfattning och barrskog äldre än 160 år, där den violettgrå tagellaven huvudsakligen påträffas har minskat med 50% de senaste 50 åren. Lågproduktiv skogsmark där laven förekommer bör undantas från skogsbruk och rika förekomster i äldre granskog bör skyddas. Arten är känslig för uttorkning och det är väsentligt att tillräckligt stora bestånd avsätts. Violettgrå tagellav är typisk art för </w:t>
      </w:r>
      <w:r>
        <w:rPr>
          <w:i/>
        </w:rPr>
        <w:t>9010 Taiga</w:t>
      </w:r>
      <w:r>
        <w:t xml:space="preserve"> (SLU Artdatabanken, 2024; Nitare &amp; Skogsstyrelsen, 2019).</w:t>
      </w:r>
    </w:p>
    <w:p>
      <w:pPr>
        <w:pStyle w:val="Heading1"/>
      </w:pPr>
      <w:r>
        <w:t>Fridlysta arter</w:t>
      </w:r>
    </w:p>
    <w:p>
      <w:r>
        <w:t>Följande fridlysta arter har sina livsmiljöer och växtplatser i den avverkningsanmälda skogen: knärot (VU, §8).</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1 fyndplatser för knärot registrerade på Artportalen. Figur 2 visar gränserna för buffertzoner på 50 m, som behöver lämnas kring fyndplatserna för att knärotslokalerna inte ska försvinna vid en avverkning. Av det avverkningsanmälda området överlappar 0.43 ha med buffertzonerna och får av detta skäl inte avverkas.</w:t>
      </w:r>
    </w:p>
    <w:p>
      <w:pPr>
        <w:pStyle w:val="Caption"/>
      </w:pPr>
      <w:r>
        <w:drawing>
          <wp:inline xmlns:a="http://schemas.openxmlformats.org/drawingml/2006/main" xmlns:pic="http://schemas.openxmlformats.org/drawingml/2006/picture">
            <wp:extent cx="5486400" cy="5359160"/>
            <wp:docPr id="2" name="Picture 2"/>
            <wp:cNvGraphicFramePr>
              <a:graphicFrameLocks noChangeAspect="1"/>
            </wp:cNvGraphicFramePr>
            <a:graphic>
              <a:graphicData uri="http://schemas.openxmlformats.org/drawingml/2006/picture">
                <pic:pic>
                  <pic:nvPicPr>
                    <pic:cNvPr id="0" name="A 42675-2025 karta knärot.png"/>
                    <pic:cNvPicPr/>
                  </pic:nvPicPr>
                  <pic:blipFill>
                    <a:blip r:embed="rId17"/>
                    <a:stretch>
                      <a:fillRect/>
                    </a:stretch>
                  </pic:blipFill>
                  <pic:spPr>
                    <a:xfrm>
                      <a:off x="0" y="0"/>
                      <a:ext cx="5486400" cy="5359160"/>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6871892, E 471294 i SWEREF 99 TM.</w:t>
      </w:r>
    </w:p>
    <w:p>
      <w:pPr>
        <w:pStyle w:val="Caption"/>
      </w:pPr>
    </w:p>
    <w:p>
      <w:r>
        <w:t>I BILAGA 1 finns mer detaljerad information om ekologi samt krav på livsmiljö hos fridlysta arter.</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2026-05-31</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