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14058-2023 i Härjedalens kommun</w:t>
      </w:r>
    </w:p>
    <w:p>
      <w:r>
        <w:t>Denna tillsynsbegäran behandlar höga naturvärden i avverkningsanmälan A 14058-2023 i Härjedalens kommun som inkom 2023-03-22 och omfattar 33,9 ha.</w:t>
      </w:r>
    </w:p>
    <w:p>
      <w:pPr>
        <w:pStyle w:val="Caption"/>
      </w:pPr>
      <w:r>
        <w:drawing>
          <wp:inline xmlns:a="http://schemas.openxmlformats.org/drawingml/2006/main" xmlns:pic="http://schemas.openxmlformats.org/drawingml/2006/picture">
            <wp:extent cx="5310928" cy="5724000"/>
            <wp:docPr id="1" name="Picture 1"/>
            <wp:cNvGraphicFramePr>
              <a:graphicFrameLocks noChangeAspect="1"/>
            </wp:cNvGraphicFramePr>
            <a:graphic>
              <a:graphicData uri="http://schemas.openxmlformats.org/drawingml/2006/picture">
                <pic:pic>
                  <pic:nvPicPr>
                    <pic:cNvPr id="0" name="A 14058-2023 karta.png"/>
                    <pic:cNvPicPr/>
                  </pic:nvPicPr>
                  <pic:blipFill>
                    <a:blip r:embed="rId16"/>
                    <a:stretch>
                      <a:fillRect/>
                    </a:stretch>
                  </pic:blipFill>
                  <pic:spPr>
                    <a:xfrm>
                      <a:off x="0" y="0"/>
                      <a:ext cx="5310928"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6899509, E 417954 i SWEREF 99 TM.</w:t>
      </w:r>
    </w:p>
    <w:p>
      <w:r>
        <w:t>I och inom 20 meter från avverkningsanmälan finns fynd av 11 naturvårdsarter, varav 11 är rödlistade, 1 är fridlyst och 5 är typiska (T): fläckporing (VU, T), gräddporing (VU, T), björktrast (NT, §4), dvärgbägarlav (NT, T), kolflarnlav (NT, T), mörk kolflarnlav (NT), nordtagging (NT), skarp dropptaggsvamp (NT), tallriska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