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33422-2021 i Härjedalens kommun</w:t>
      </w:r>
    </w:p>
    <w:p>
      <w:r>
        <w:t>Detta dokument behandlar höga naturvärden i avverkningsanmälan A 33422-2021 i Härjedalens kommun. Denna avverkningsanmälan inkom 2021-06-30 00:00:00 och omfattar 13,3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blanksvart spiklav (NT), garnlav (NT), knottrig blåslav (NT), parknål (NT), skrovellav (NT), spillkråka (NT, §4), vitgrynig nållav (NT) och plattlummer (S, §9).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64019"/>
            <wp:docPr id="1" name="Picture 1"/>
            <wp:cNvGraphicFramePr>
              <a:graphicFrameLocks noChangeAspect="1"/>
            </wp:cNvGraphicFramePr>
            <a:graphic>
              <a:graphicData uri="http://schemas.openxmlformats.org/drawingml/2006/picture">
                <pic:pic>
                  <pic:nvPicPr>
                    <pic:cNvPr id="0" name="A 33422-2021 karta.png"/>
                    <pic:cNvPicPr/>
                  </pic:nvPicPr>
                  <pic:blipFill>
                    <a:blip r:embed="rId16"/>
                    <a:stretch>
                      <a:fillRect/>
                    </a:stretch>
                  </pic:blipFill>
                  <pic:spPr>
                    <a:xfrm>
                      <a:off x="0" y="0"/>
                      <a:ext cx="5486400" cy="38640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6928544, E 445168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 xml:space="preserve">Parknål (NT) </w:t>
      </w:r>
      <w:r>
        <w:t>växer söder om Dalälven på gamla ädellövträd och i norra Sverige på mycket gamla sälgar i skogar med hög och jämn luftfuktighet. Ofta förekommer den tillsammans med andra rödlistade knappnålslavar. Lämpliga träd nyskapas i begränsad omfattning. Spara grova träd, restaurera hag- och slåttermarker och öppna runt grova ekar som nu är kraftigt beskuggade. Förekomsterna i norra Sverige måste skyddas (SLU Artdatabanken, 2025).</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spillkråka (NT, §4) och plattlummer (S,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(VU, §8) och mellanlummer (VU, §9), vilka båda omfattas av EU:s art- och habitatdirektiv. Plattlummer är typisk art för </w:t>
      </w:r>
      <w:r>
        <w:rPr>
          <w:i/>
        </w:rPr>
        <w:t xml:space="preserve">9010 Taiga </w:t>
      </w:r>
      <w:r>
        <w:t>och</w:t>
      </w:r>
      <w:r>
        <w:rPr>
          <w:i/>
        </w:rPr>
        <w:t xml:space="preserve"> 2320 Rissandhedar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