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1242-2025 i Härjedalens kommun</w:t>
      </w:r>
    </w:p>
    <w:p>
      <w:r>
        <w:t>Detta klagomål behandlar höga naturvärden i avverkningsanmälan A 1242-2025 i Härjedalens kommun som inkom 2025-01-10 och omfattar 80,5 ha.</w:t>
      </w:r>
    </w:p>
    <w:p>
      <w:pPr>
        <w:pStyle w:val="Caption"/>
      </w:pPr>
      <w:r>
        <w:drawing>
          <wp:inline xmlns:a="http://schemas.openxmlformats.org/drawingml/2006/main" xmlns:pic="http://schemas.openxmlformats.org/drawingml/2006/picture">
            <wp:extent cx="5031612" cy="5724000"/>
            <wp:docPr id="1" name="Picture 1"/>
            <wp:cNvGraphicFramePr>
              <a:graphicFrameLocks noChangeAspect="1"/>
            </wp:cNvGraphicFramePr>
            <a:graphic>
              <a:graphicData uri="http://schemas.openxmlformats.org/drawingml/2006/picture">
                <pic:pic>
                  <pic:nvPicPr>
                    <pic:cNvPr id="0" name="A 1242-2025 karta.png"/>
                    <pic:cNvPicPr/>
                  </pic:nvPicPr>
                  <pic:blipFill>
                    <a:blip r:embed="rId16"/>
                    <a:stretch>
                      <a:fillRect/>
                    </a:stretch>
                  </pic:blipFill>
                  <pic:spPr>
                    <a:xfrm>
                      <a:off x="0" y="0"/>
                      <a:ext cx="5031612" cy="5724000"/>
                    </a:xfrm>
                    <a:prstGeom prst="rect"/>
                  </pic:spPr>
                </pic:pic>
              </a:graphicData>
            </a:graphic>
          </wp:inline>
        </w:drawing>
      </w:r>
    </w:p>
    <w:p>
      <w:pPr>
        <w:pStyle w:val="Caption"/>
        <w:spacing w:after="240"/>
      </w:pPr>
      <w:r>
        <w:t>Figur 1. Fyndplatser för naturvårdsarter i och inom 17 meter från avverkningsanmälan. Markörer utan svart kant är placerade på fyndplatsen. Markörer med svart kant är placerade vid sidan av fyndplatsen och har ett svart streck som visar fyndplatsens exakta position. Kartans mittpunktskoordinat är N 6888233, E 432393 i SWEREF 99 TM.</w:t>
      </w:r>
    </w:p>
    <w:p>
      <w:r>
        <w:t>I och inom 17 meter från avverkningsanmälan finns fynd av 19 naturvårdsarter, varav 16 är rödlistade, 3 är fridlysta, 14 är typiska (T) och 3 är signalarter (S): garnlav (VU, T), blanksvart spiklav (NT), doftskinn (NT, T), dvärgbägarlav (NT, T), gullpudra (NT, T), kolflarnlav (NT, T), lavskrika (NT, T, §4), liten svartspik (NT), lunglav (NT, T), mörk kolflarnlav (NT), skrovellav (NT, T), tretåig hackspett (NT, T, §4), ullticka (NT, T), vedflamlav (NT), vedskivlav (NT, T), vitgrynig nållav (NT), gytterlav (S, T), spindelblomster (S, T, §8) och stuplav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Gullpudra (NT)</w:t>
      </w:r>
      <w:r>
        <w:t xml:space="preserve"> växer sparsamt främst i källpåverkad sumpskog i södra och mellersta Sverige norrut till Jämtland-Västernorrland. Kommer in på rödlistan för första gången 2025 till följd av en stark minskning (&gt;50%) i Riksskogstaxeringens data. Minskningstakten överstiger gränsvärdet för Starkt hotad (EN) enligt A-kriteriet.  Då minskningen har en stor osäkerhet så nedgraderas rödlistekategorin två steg till Nära hotad. Gullpudra är typisk art för </w:t>
      </w:r>
      <w:r>
        <w:rPr>
          <w:i/>
        </w:rPr>
        <w:t xml:space="preserve">9080 Lövsumpskog, 7160 Källor och källkärr </w:t>
      </w:r>
      <w:r>
        <w:t>och</w:t>
      </w:r>
      <w:r>
        <w:rPr>
          <w:i/>
        </w:rPr>
        <w:t xml:space="preserve"> 7310 Aapamyrar</w:t>
      </w:r>
      <w:r>
        <w:t xml:space="preserve"> (SLU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Liten svartspik (NT)</w:t>
      </w:r>
      <w:r>
        <w:t xml:space="preserve"> växer på granbark i boreala barrskogar med lång trädkontinuitet och hög luftfuktighet. Orsaken till tillbakagången beror på främst på slutavverkningar av naturskogsartade granskogar. Bestånd med riklig förekomst av liten svartspik bör regelmässigt sparas. Naturhänsyn i samband med slutavverkning måste ske så att man undviker uttorkningseffekter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 xml:space="preserve">Gytterlav </w:t>
      </w:r>
      <w:r>
        <w:t xml:space="preserve">signalerar höga naturvärden i södra och mellersta Sverige, samt längs Norrlands kustland. Förekomster i söder, framför allt på trädstammar, är en indikation på gammal skogsmark med långvarig förekomst av äldre lövträd i miljöer med hög och jämn luftfuktighet. Gytterlav är typisk art för </w:t>
      </w:r>
      <w:r>
        <w:rPr>
          <w:i/>
        </w:rPr>
        <w:t xml:space="preserve">9040 Fjällbjörkskog </w:t>
      </w:r>
      <w:r>
        <w:t>(Nitare &amp; Skogsstyrelsen, 2019; 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19 naturvårdsarter varav 16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