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28288-2024 i Härjedalens kommun</w:t>
      </w:r>
    </w:p>
    <w:p>
      <w:r>
        <w:t>Detta klagomål behandlar höga naturvärden i avverkningsanmälan A 28288-2024 i Härjedalens kommun som inkom 2024-07-04 och omfattar 2,0 ha.</w:t>
      </w:r>
    </w:p>
    <w:p>
      <w:pPr>
        <w:pStyle w:val="Caption"/>
      </w:pPr>
      <w:r>
        <w:drawing>
          <wp:inline xmlns:a="http://schemas.openxmlformats.org/drawingml/2006/main" xmlns:pic="http://schemas.openxmlformats.org/drawingml/2006/picture">
            <wp:extent cx="5486400" cy="3953602"/>
            <wp:docPr id="1" name="Picture 1"/>
            <wp:cNvGraphicFramePr>
              <a:graphicFrameLocks noChangeAspect="1"/>
            </wp:cNvGraphicFramePr>
            <a:graphic>
              <a:graphicData uri="http://schemas.openxmlformats.org/drawingml/2006/picture">
                <pic:pic>
                  <pic:nvPicPr>
                    <pic:cNvPr id="0" name="A 28288-2024 karta.png"/>
                    <pic:cNvPicPr/>
                  </pic:nvPicPr>
                  <pic:blipFill>
                    <a:blip r:embed="rId16"/>
                    <a:stretch>
                      <a:fillRect/>
                    </a:stretch>
                  </pic:blipFill>
                  <pic:spPr>
                    <a:xfrm>
                      <a:off x="0" y="0"/>
                      <a:ext cx="5486400" cy="395360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6900210, E 489087 i SWEREF 99 TM.</w:t>
      </w:r>
    </w:p>
    <w:p>
      <w:r>
        <w:t>I och inom 11 meter från avverkningsanmälan finns fynd av 17 naturvårdsarter, varav 16 är rödlistade, 1 är fridlyst, 8 är typiska (T) och 1 är signalart (S): garnlav (VU, T), knärot (VU, T, §8), skrovlig taggsvamp (VU), smalfotad taggsvamp (VU), blå taggsvamp (NT, T), blågrå svartspik (NT), dvärgbägarlav (NT, T), kolflarnlav (NT, T), liten svartspik (NT), lunglav (NT, T), mörk kolflarnlav (NT), nordtagging (NT), vaddporing (NT), vedflamlav (NT), vedskivlav (NT, T), vitplätt (NT)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3697193"/>
            <wp:docPr id="2" name="Picture 2"/>
            <wp:cNvGraphicFramePr>
              <a:graphicFrameLocks noChangeAspect="1"/>
            </wp:cNvGraphicFramePr>
            <a:graphic>
              <a:graphicData uri="http://schemas.openxmlformats.org/drawingml/2006/picture">
                <pic:pic>
                  <pic:nvPicPr>
                    <pic:cNvPr id="0" name="A 28288-2024 karta knärot.png"/>
                    <pic:cNvPicPr/>
                  </pic:nvPicPr>
                  <pic:blipFill>
                    <a:blip r:embed="rId17"/>
                    <a:stretch>
                      <a:fillRect/>
                    </a:stretch>
                  </pic:blipFill>
                  <pic:spPr>
                    <a:xfrm>
                      <a:off x="0" y="0"/>
                      <a:ext cx="5486400" cy="36971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6900210, E 489087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