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28359-2026 i Härjedalens kommun</w:t>
      </w:r>
    </w:p>
    <w:p>
      <w:r>
        <w:t>Denna tillsynsbegäran behandlar höga naturvärden i avverkningsanmälan A 28359-2026 i Härjedalens kommun som inkom 2026-06-23 och omfattar 7,7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28359-2026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6858732, E 466226 i SWEREF 99 TM.</w:t>
      </w:r>
    </w:p>
    <w:p>
      <w:r>
        <w:t>I och inom 22 meter från avverkningsanmälan finns fynd av 21 naturvårdsarter, varav 18 är rödlistade, 4 är fridlysta, 14 är typiska (T) och 2 är signalarter (S): garnlav (VU, T), knärot (VU, T, §8), blanksvart spiklav (NT), blågrå svartspik (NT), dvärgbägarlav (NT, T), gammelgransskål (NT, T), knottrig blåslav (NT, T), kolflarnlav (NT, T), kortskaftad ärgspik (NT), lunglav (NT, T), mörk kolflarnlav (NT), skrovellav (NT, T), talltita (NT, §4), tretåig hackspett (NT, T, §4), vedflamlav (NT), vedskivlav (NT, T), violettgrå tagellav (NT, T), vitgrynig nållav (NT), nästlav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3156094"/>
            <wp:docPr id="2" name="Picture 2"/>
            <wp:cNvGraphicFramePr>
              <a:graphicFrameLocks noChangeAspect="1"/>
            </wp:cNvGraphicFramePr>
            <a:graphic>
              <a:graphicData uri="http://schemas.openxmlformats.org/drawingml/2006/picture">
                <pic:pic>
                  <pic:nvPicPr>
                    <pic:cNvPr id="0" name="A 28359-2026 karta knärot.png"/>
                    <pic:cNvPicPr/>
                  </pic:nvPicPr>
                  <pic:blipFill>
                    <a:blip r:embed="rId17"/>
                    <a:stretch>
                      <a:fillRect/>
                    </a:stretch>
                  </pic:blipFill>
                  <pic:spPr>
                    <a:xfrm>
                      <a:off x="0" y="0"/>
                      <a:ext cx="5486400" cy="3156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6858732, E 466226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gammelgransskål (NT, T), knottrig blåslav (NT, T), kolflarnlav (NT, T), lunglav (NT, T), skrovellav (NT, T), tretåig hackspett (NT, T, §4), vedskivlav (NT, T), violettgrå tagellav (NT, T), nästlav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