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63663-2025 i Härjedalens kommun</w:t>
      </w:r>
    </w:p>
    <w:p>
      <w:r>
        <w:t>Denna tillsynsbegäran behandlar höga naturvärden i avverkningsanmälan A 63663-2025 i Härjedalens kommun som inkom 2025-12-23 och omfattar 16,5 ha.</w:t>
      </w:r>
    </w:p>
    <w:p>
      <w:pPr>
        <w:pStyle w:val="Caption"/>
      </w:pPr>
      <w:r>
        <w:drawing>
          <wp:inline xmlns:a="http://schemas.openxmlformats.org/drawingml/2006/main" xmlns:pic="http://schemas.openxmlformats.org/drawingml/2006/picture">
            <wp:extent cx="4829010" cy="5724000"/>
            <wp:docPr id="1" name="Picture 1"/>
            <wp:cNvGraphicFramePr>
              <a:graphicFrameLocks noChangeAspect="1"/>
            </wp:cNvGraphicFramePr>
            <a:graphic>
              <a:graphicData uri="http://schemas.openxmlformats.org/drawingml/2006/picture">
                <pic:pic>
                  <pic:nvPicPr>
                    <pic:cNvPr id="0" name="A 63663-2025 karta.png"/>
                    <pic:cNvPicPr/>
                  </pic:nvPicPr>
                  <pic:blipFill>
                    <a:blip r:embed="rId16"/>
                    <a:stretch>
                      <a:fillRect/>
                    </a:stretch>
                  </pic:blipFill>
                  <pic:spPr>
                    <a:xfrm>
                      <a:off x="0" y="0"/>
                      <a:ext cx="4829010"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6879023, E 470917 i SWEREF 99 TM.</w:t>
      </w:r>
    </w:p>
    <w:p>
      <w:r>
        <w:t>I och inom 18 meter från avverkningsanmälan finns fynd av 7 naturvårdsarter, varav 7 är rödlistade och 4 är typiska (T): goliatmusseron (VU, T), skrovlig taggsvamp (VU), blå taggsvamp (NT, T), dropptaggsvamp (NT, T), orange taggsvamp (NT, T), skarp dropptaggsvamp (NT) och tallriska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