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41137-2026 i Härjedalens kommun</w:t>
      </w:r>
    </w:p>
    <w:p>
      <w:r>
        <w:t>Denna tillsynsbegäran behandlar höga naturvärden i avverkningsanmälan A 41137-2026 i Härjedalens kommun som inkom 2026-10-05 och omfattar 137,5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41137-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6928558, E 370095 i SWEREF 99 TM.</w:t>
      </w:r>
    </w:p>
    <w:p>
      <w:r>
        <w:t>I och inom 19 meter från avverkningsanmälan finns fynd av 18 naturvårdsarter, varav 17 är rödlistade, 4 är fridlysta, 12 är typiska (T) och 1 är signalart (S): garnlav (VU, T), gränsticka (VU, T), liten sotlav (VU, T), blanksvart spiklav (NT), gammelgransskål (NT, T), harticka (NT, T), kungsörn (NT, §4), lavskrika (NT, T, §4), nordlig nållav (NT), rynkskinn (NT, T), skrovellav (NT, T), tretåig hackspett (NT, T, §4), ullticka (NT, T), varglav (NT, §8), vedflamlav (NT), vedskivlav (NT, T), vitgrynig nållav (NT)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gammelgransskål (NT, T), harticka (NT, T), lavskrika (NT, T, §4), rynkskinn (NT, T), skrovellav (NT, T), tretåig hackspett (NT, T, §4), ullticka (NT, T), vedskivlav (NT, T) och kornig nållav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