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58154-2023 i Härjedalens kommun</w:t>
      </w:r>
    </w:p>
    <w:p>
      <w:r>
        <w:t>Denna tillsynsbegäran behandlar höga naturvärden i avverkningsanmälan A 58154-2023 i Härjedalens kommun som inkom 2023-11-20 och omfattar 7,4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58154-2023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6902061, E 443852 i SWEREF 99 TM.</w:t>
      </w:r>
    </w:p>
    <w:p>
      <w:r>
        <w:t>I avverkningsanmälan finns fynd av 17 naturvårdsarter, varav 14 är rödlistade, 12 är typiska (T) och 3 är signalarter (S): garnlav (VU, T), gräddporing (VU, T), gränsticka (VU, T), blanksvart spiklav (NT), blågrå svartspik (NT), dvärgbägarlav (NT, T), grantaggsvamp (NT), kolflarnlav (NT, T), lunglav (NT, T), mörk kolflarnlav (NT), nordtagging (NT), skrovellav (NT, T), ullticka (NT, T), vedtrappmossa (NT, T), barkkornlav (S, T), bårdlav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dvärgbägarlav (NT, T), kolflarnlav (NT, T), lunglav (NT, T), skrovellav (NT, T), ullticka (NT, T), vedtrappmossa (NT, T), barkkornlav (S, T), bårdlav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