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25 naturvårdsarter, varav 21 är rödlistade, 3 är fridlysta, 17 är typiska (T) och 3 är signalarter (S): Abrothallus diederichii (VU), fläckporing (VU, T), garnlav (VU, T), gräddporing (VU, T), knärot (VU, T, §8), blanksvart spiklav (NT), dropptaggsvamp (NT, T), dvärgbägarlav (NT, T), kattfotslav (NT, T), labyrintlav (NT), lunglav (NT, T), mörk kolflarnlav (NT), nordlig nållav (NT), rosa skärelav (NT, T), skarp dropptaggsvamp (NT), skrovellav (NT, T), tretåig hackspett (NT, T, §4), varglav (NT, §8), vedflamlav (NT), vedskivlav (NT, T), violettgrå tagellav (NT, T), korallblylav (S, T), norrlandslav (S, T), rostfläck (S, T) och mjölig knopplav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kattfotslav (NT, T), lunglav (NT, T), rosa skärelav (NT, T), skrovellav (NT, T), tretåig hackspett (NT, T, §4), vedskivlav (NT, T), violettgrå tagellav (NT, T), korallblylav (S, T), norrlandslav (S, T), rostfläck (S, T) och mjölig knopplav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