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40207-2025 i Östersunds kommun</w:t>
      </w:r>
    </w:p>
    <w:p>
      <w:r>
        <w:t>Detta dokument behandlar höga naturvärden i avverkningsanmälan A 40207-2025 i Östersunds kommun. Denna avverkningsanmälan inkom 2025-08-25 16:19:02 och omfattar 5,4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trolldruvemätare (EN)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2087"/>
            <wp:docPr id="1" name="Picture 1"/>
            <wp:cNvGraphicFramePr>
              <a:graphicFrameLocks noChangeAspect="1"/>
            </wp:cNvGraphicFramePr>
            <a:graphic>
              <a:graphicData uri="http://schemas.openxmlformats.org/drawingml/2006/picture">
                <pic:pic>
                  <pic:nvPicPr>
                    <pic:cNvPr id="0" name="A 40207-2025 karta.png"/>
                    <pic:cNvPicPr/>
                  </pic:nvPicPr>
                  <pic:blipFill>
                    <a:blip r:embed="rId16"/>
                    <a:stretch>
                      <a:fillRect/>
                    </a:stretch>
                  </pic:blipFill>
                  <pic:spPr>
                    <a:xfrm>
                      <a:off x="0" y="0"/>
                      <a:ext cx="5486400" cy="3042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7033032, E 489846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Trolldruvemätare (EN)</w:t>
      </w:r>
      <w:r>
        <w:t xml:space="preserve"> är rödlistad som starkt hotad och omfattas av åtgärdsprogram för hotade arter.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Trolldruvemätare – ekologi samt krav på livsmiljön</w:t>
      </w:r>
    </w:p>
    <w:p>
      <w:r>
        <w:t>Trolldruvemätare (EN), rödlistad som starkt hotad, omfattas av åtgärdsprogram för hotade arter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2024).</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r>
        <w:rPr>
          <w:i/>
        </w:rPr>
        <w:t>1. Vad kan sägas om trolldruvemätarens uppträdande och hotsituation i Norden och i Sverige generellt och dess orsaker?</w:t>
      </w:r>
    </w:p>
    <w:p>
      <w:r>
        <w:rPr>
          <w:i/>
        </w:rPr>
        <w:t>2. 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