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25277-2024 i Östersunds kommun</w:t>
      </w:r>
    </w:p>
    <w:p>
      <w:r>
        <w:t>Detta dokument behandlar höga naturvärden i avverkningsanmälan A 25277-2024 i Östersunds kommun. Denna avverkningsanmälan inkom 2024-06-19 och omfattar 24,4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20 naturvårdsarter hittats: knärot (VU, §8), garnlav (NT), granticka (NT), gultoppig fingersvamp (NT), harticka (NT), lunglav (NT), talltita (NT, §4), tretåig hackspett (NT, §4), ullticka (NT), finbräken (S), guckusko (S, §7), korallrot (S, §8), luddlav (S), norrlandslav (S), spindelblomster (S, §8), stuplav (S), trådticka (S), tvåblad (S, §8), fläcknycklar (§8) och revlummer (§9).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152166"/>
            <wp:docPr id="1" name="Picture 1"/>
            <wp:cNvGraphicFramePr>
              <a:graphicFrameLocks noChangeAspect="1"/>
            </wp:cNvGraphicFramePr>
            <a:graphic>
              <a:graphicData uri="http://schemas.openxmlformats.org/drawingml/2006/picture">
                <pic:pic>
                  <pic:nvPicPr>
                    <pic:cNvPr id="0" name="A 25277-2024 karta.png"/>
                    <pic:cNvPicPr/>
                  </pic:nvPicPr>
                  <pic:blipFill>
                    <a:blip r:embed="rId16"/>
                    <a:stretch>
                      <a:fillRect/>
                    </a:stretch>
                  </pic:blipFill>
                  <pic:spPr>
                    <a:xfrm>
                      <a:off x="0" y="0"/>
                      <a:ext cx="5486400" cy="21521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7013868, E 500165 i SWEREF 99 TM.</w:t>
      </w:r>
    </w:p>
    <w:p>
      <w:r>
        <w:rPr>
          <w:b/>
        </w:rPr>
        <w:t>Finbräken</w:t>
      </w:r>
      <w:r>
        <w:t xml:space="preserve"> växer på kalkrika marker i frisk eller fuktig mulljord. Den kräver konstant hög luftfuktighet och är mycket känslig för skogsbruksåtgärder. Arten är placerad högst upp i Skogsstyrelsens värdepyramid för bedömning av skog med höga naturvärden och utgör en karaktärsart för de mest skyddsvärda kalkgranskogarna med långvarig ekologisk kontinuitet och högt skyddsvärde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Gultoppig fingersvamp (NT)</w:t>
      </w:r>
      <w:r>
        <w:t xml:space="preserve"> bildar mykorrhiza med gran i örtrik äldre barrskog. Den är något kalkgynnad och föredrar bördiga granskogar av lågörtstyp. Svampen hotas främst av skogsavverkning och tycks försvinna efter slutavverkning, markberedning och plantering. Skogsområden med arten bör undantas från storskaligt skogsbruk. Slutavverkning, kraftig gallring och skogsgödsling måste undvikas, liksom körning med tunga maskiner (SLU Artdatabanken, 2024).</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talltita (NT, §4), tretåig hackspett (NT, §4), guckusko (S, §7), korallrot (S, §8), spindelblomster (S, §8), tvåblad (S, §8), fläcknycklar (§8)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Guckusko är rödlistad som nära hotad (NT) i den europeiska rödlistan och Sverige hyser mer än halva den beräknade populationen av arten i EU, vilket innebär att vi har ett internationellt ansvar för arten (SLU Artdatabanken, 2021; IUCN, 2011).</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75 fyndplatser för knärot registrerade på Artportalen. Figur 2 visar gränserna för buffertzoner på 50 m, som behöver lämnas kring fyndplatserna för att knärotslokalerna inte ska försvinna vid en avverkning. Av det avverkningsanmälda området överlappar 16.01 ha med buffertzonerna och får av detta skäl inte avverkas.</w:t>
      </w:r>
    </w:p>
    <w:p>
      <w:pPr>
        <w:pStyle w:val="Caption"/>
      </w:pPr>
      <w:r>
        <w:drawing>
          <wp:inline xmlns:a="http://schemas.openxmlformats.org/drawingml/2006/main" xmlns:pic="http://schemas.openxmlformats.org/drawingml/2006/picture">
            <wp:extent cx="5486400" cy="2436464"/>
            <wp:docPr id="2" name="Picture 2"/>
            <wp:cNvGraphicFramePr>
              <a:graphicFrameLocks noChangeAspect="1"/>
            </wp:cNvGraphicFramePr>
            <a:graphic>
              <a:graphicData uri="http://schemas.openxmlformats.org/drawingml/2006/picture">
                <pic:pic>
                  <pic:nvPicPr>
                    <pic:cNvPr id="0" name="A 25277-2024 karta knärot.png"/>
                    <pic:cNvPicPr/>
                  </pic:nvPicPr>
                  <pic:blipFill>
                    <a:blip r:embed="rId17"/>
                    <a:stretch>
                      <a:fillRect/>
                    </a:stretch>
                  </pic:blipFill>
                  <pic:spPr>
                    <a:xfrm>
                      <a:off x="0" y="0"/>
                      <a:ext cx="5486400" cy="243646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7013868, E 500165 i SWEREF 99 TM.</w:t>
      </w:r>
    </w:p>
    <w:p>
      <w:pPr>
        <w:pStyle w:val="Caption"/>
      </w:pP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Arten är fridlyst enligt 8 § artskyddsförordningen (SLU Artdatabanken, 2024; Nitare &amp; Skogsstyrelsen, 2019).</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20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w:t>
      </w:r>
    </w:p>
    <w:p>
      <w:r>
        <w:t>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