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3008-2025 i Östersunds kommun</w:t>
      </w:r>
    </w:p>
    <w:p>
      <w:r>
        <w:t>Detta klagomål behandlar höga naturvärden i samrådsanmälan S 3008-2025 i Östersunds kommun som inkom 2025-10-27 och omfattar 17,4 ha.</w:t>
      </w:r>
    </w:p>
    <w:p>
      <w:pPr>
        <w:pStyle w:val="Caption"/>
      </w:pPr>
      <w:r>
        <w:drawing>
          <wp:inline xmlns:a="http://schemas.openxmlformats.org/drawingml/2006/main" xmlns:pic="http://schemas.openxmlformats.org/drawingml/2006/picture">
            <wp:extent cx="5486400" cy="2665900"/>
            <wp:docPr id="1" name="Picture 1"/>
            <wp:cNvGraphicFramePr>
              <a:graphicFrameLocks noChangeAspect="1"/>
            </wp:cNvGraphicFramePr>
            <a:graphic>
              <a:graphicData uri="http://schemas.openxmlformats.org/drawingml/2006/picture">
                <pic:pic>
                  <pic:nvPicPr>
                    <pic:cNvPr id="0" name="S 3008-2025 karta.png"/>
                    <pic:cNvPicPr/>
                  </pic:nvPicPr>
                  <pic:blipFill>
                    <a:blip r:embed="rId16"/>
                    <a:stretch>
                      <a:fillRect/>
                    </a:stretch>
                  </pic:blipFill>
                  <pic:spPr>
                    <a:xfrm>
                      <a:off x="0" y="0"/>
                      <a:ext cx="5486400" cy="2665900"/>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7005165, E 500439 i SWEREF 99 TM.</w:t>
      </w:r>
    </w:p>
    <w:p>
      <w:r>
        <w:t>I och inom 18 meter från samrådsanmälan finns fynd av 21 naturvårdsarter, varav 12 är rödlistade, 5 är fridlysta, 16 är typiska (T) och 7 är signalarter (S): blackticka (VU), garnlav (VU, T), gränsticka (VU, T), knärot (VU, T, §8), kortskaftad ärgspik (NT), lunglav (NT, T), rosenticka (NT, T), stjärntagging (NT, T), talltita (NT, §4), tretåig hackspett (NT, T, §4), ullticka (NT, T), vitgrynig nållav (NT), kransrams (S, T), stuplav (S, T), svart trolldruva (S, T), svavelriska (S), tibast (S, T), trådticka (S, T), underviol (S, T), blåsippa (T, §9) och gråspett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20 fyndplatser för knärot registrerade på Artportalen. Figur 2 visar gränserna för buffertzoner på 50 m, som behöver lämnas kring fyndplatserna för att knärotslokalerna inte ska försvinna vid en avverkning. Av det samrådsanmälda området överlappar 4.49 ha med buffertzonerna och får av detta skäl inte avverkas.</w:t>
      </w:r>
    </w:p>
    <w:p>
      <w:pPr>
        <w:pStyle w:val="Caption"/>
      </w:pPr>
      <w:r>
        <w:drawing>
          <wp:inline xmlns:a="http://schemas.openxmlformats.org/drawingml/2006/main" xmlns:pic="http://schemas.openxmlformats.org/drawingml/2006/picture">
            <wp:extent cx="5486400" cy="2292599"/>
            <wp:docPr id="2" name="Picture 2"/>
            <wp:cNvGraphicFramePr>
              <a:graphicFrameLocks noChangeAspect="1"/>
            </wp:cNvGraphicFramePr>
            <a:graphic>
              <a:graphicData uri="http://schemas.openxmlformats.org/drawingml/2006/picture">
                <pic:pic>
                  <pic:nvPicPr>
                    <pic:cNvPr id="0" name="S 3008-2025 karta knärot.png"/>
                    <pic:cNvPicPr/>
                  </pic:nvPicPr>
                  <pic:blipFill>
                    <a:blip r:embed="rId17"/>
                    <a:stretch>
                      <a:fillRect/>
                    </a:stretch>
                  </pic:blipFill>
                  <pic:spPr>
                    <a:xfrm>
                      <a:off x="0" y="0"/>
                      <a:ext cx="5486400" cy="229259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7005165, E 500439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Kransrams</w:t>
      </w:r>
      <w:r>
        <w:t xml:space="preserve"> är typisk art för </w:t>
      </w:r>
      <w:r>
        <w:rPr>
          <w:i/>
        </w:rPr>
        <w:t xml:space="preserve">9020 Nordlig ädellövskog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21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