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45985-2025 i Östersunds kommun</w:t>
      </w:r>
    </w:p>
    <w:p>
      <w:r>
        <w:t>Denna tillsynsbegäran behandlar höga naturvärden i avverkningsanmälan A 45985-2025 i Östersunds kommun som inkom 2025-09-24 och omfattar 11,8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45985-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7014532, E 488534 i SWEREF 99 TM.</w:t>
      </w:r>
    </w:p>
    <w:p>
      <w:r>
        <w:t>I och inom 25 meter från avverkningsanmälan finns fynd av 20 naturvårdsarter, varav 10 är rödlistade, 8 är fridlysta, 16 är typiska (T) och 7 är signalarter (S): blackticka (VU), garnlav (VU, T), knärot (VU, T, §8), lunglav (NT, T), rosenticka (NT, T), rynkskinn (NT, T), skrovellav (NT, T), talltita (NT, §4), tretåig hackspett (NT, T, §4), ullticka (NT, T), grönkulla (S, T, §8), korallrot (S, T, §8), kransrams (S, T), luddlav (S, T), svavelriska (S), trådticka (S, T), underviol (S, T),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5.32 ha med buffertzonerna och får av detta skäl inte avverkas.</w:t>
      </w:r>
    </w:p>
    <w:p>
      <w:pPr>
        <w:pStyle w:val="Caption"/>
      </w:pPr>
      <w:r>
        <w:drawing>
          <wp:inline xmlns:a="http://schemas.openxmlformats.org/drawingml/2006/main" xmlns:pic="http://schemas.openxmlformats.org/drawingml/2006/picture">
            <wp:extent cx="5486400" cy="5054652"/>
            <wp:docPr id="2" name="Picture 2"/>
            <wp:cNvGraphicFramePr>
              <a:graphicFrameLocks noChangeAspect="1"/>
            </wp:cNvGraphicFramePr>
            <a:graphic>
              <a:graphicData uri="http://schemas.openxmlformats.org/drawingml/2006/picture">
                <pic:pic>
                  <pic:nvPicPr>
                    <pic:cNvPr id="0" name="A 45985-2025 karta knärot.png"/>
                    <pic:cNvPicPr/>
                  </pic:nvPicPr>
                  <pic:blipFill>
                    <a:blip r:embed="rId17"/>
                    <a:stretch>
                      <a:fillRect/>
                    </a:stretch>
                  </pic:blipFill>
                  <pic:spPr>
                    <a:xfrm>
                      <a:off x="0" y="0"/>
                      <a:ext cx="5486400" cy="50546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7014532, E 488534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rynkskinn (NT, T), skrovellav (NT, T), tretåig hackspett (NT, T, §4), ullticka (NT, T), grönkulla (S, T, §8), korallrot (S, T, §8), kransrams (S, T), luddlav (S, T), trådticka (S, T), underviol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