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46105-2021 i Östersunds kommun</w:t>
      </w:r>
    </w:p>
    <w:p>
      <w:r>
        <w:t>Detta dokument behandlar höga naturvärden i avverkningsanmälan A 46105-2021 i Östersunds kommun. Denna avverkningsanmälan inkom 2021-09-02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tallbit (VU,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46105-2021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7027893, E 517631 i SWEREF 99 TM.</w:t>
      </w:r>
    </w:p>
    <w:p>
      <w:pPr>
        <w:pStyle w:val="Heading1"/>
      </w:pPr>
      <w:r>
        <w:t>Fridlysta arter</w:t>
      </w:r>
    </w:p>
    <w:p>
      <w:r>
        <w:t>Följande fridlysta arter har sina livsmiljöer och växtplatser i den avverkningsanmälda skogen: tallbit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xml:space="preserve"> är rödlistad som sårbar och prioriterad art i Skogsvårdslagen. Den har minskat med 25–75 % de senaste 30 åren och minskningstakten överstiger gränsvärdet för Sårbar (VU) enligt A-kriteriet. (A4bc).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