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34816-2024 i Östersunds kommun</w:t>
      </w:r>
    </w:p>
    <w:p>
      <w:r>
        <w:t>Detta dokument behandlar höga naturvärden i avverkningsanmälan A 34816-2024 i Östersunds kommun. Denna avverkningsanmälan inkom 2024-08-22 00:00:00 och omfattar 14,4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blå taggsvamp (NT), dvärgbägarlav (NT), lunglav (NT), mörk kolflarnlav (NT), orange taggsvamp (NT), skrovlig taggsvamp (NT), stiftgelélav (NT), svart taggsvamp agg. (NT) och vedskivlav (NT). Av dessa är 9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6564"/>
            <wp:docPr id="1" name="Picture 1"/>
            <wp:cNvGraphicFramePr>
              <a:graphicFrameLocks noChangeAspect="1"/>
            </wp:cNvGraphicFramePr>
            <a:graphic>
              <a:graphicData uri="http://schemas.openxmlformats.org/drawingml/2006/picture">
                <pic:pic>
                  <pic:nvPicPr>
                    <pic:cNvPr id="0" name="A 34816-2024 karta.png"/>
                    <pic:cNvPicPr/>
                  </pic:nvPicPr>
                  <pic:blipFill>
                    <a:blip r:embed="rId16"/>
                    <a:stretch>
                      <a:fillRect/>
                    </a:stretch>
                  </pic:blipFill>
                  <pic:spPr>
                    <a:xfrm>
                      <a:off x="0" y="0"/>
                      <a:ext cx="5486400" cy="52865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7003552, E 508833 i SWEREF 99 TM.</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Stiftgelélav är typisk art för </w:t>
      </w:r>
      <w:r>
        <w:rPr>
          <w:i/>
        </w:rPr>
        <w:t>9010 Taiga</w:t>
      </w:r>
      <w:r>
        <w:t xml:space="preserve"> (SLU Artdatabanken, 2024).</w:t>
      </w:r>
    </w:p>
    <w:p>
      <w:r>
        <w:rPr>
          <w:b/>
        </w:rPr>
        <w:t xml:space="preserve">Svart taggsvamp agg.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