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38334-2023 i Östersunds kommun</w:t>
      </w:r>
    </w:p>
    <w:p>
      <w:r>
        <w:t>Detta klagomål behandlar höga naturvärden i avverkningsanmälan A 38334-2023 i Östersunds kommun som inkom 2023-08-23 och omfattar 10,5 ha.</w:t>
      </w:r>
    </w:p>
    <w:p>
      <w:pPr>
        <w:pStyle w:val="Caption"/>
      </w:pPr>
      <w:r>
        <w:drawing>
          <wp:inline xmlns:a="http://schemas.openxmlformats.org/drawingml/2006/main" xmlns:pic="http://schemas.openxmlformats.org/drawingml/2006/picture">
            <wp:extent cx="5486400" cy="4614284"/>
            <wp:docPr id="1" name="Picture 1"/>
            <wp:cNvGraphicFramePr>
              <a:graphicFrameLocks noChangeAspect="1"/>
            </wp:cNvGraphicFramePr>
            <a:graphic>
              <a:graphicData uri="http://schemas.openxmlformats.org/drawingml/2006/picture">
                <pic:pic>
                  <pic:nvPicPr>
                    <pic:cNvPr id="0" name="A 38334-2023 karta.png"/>
                    <pic:cNvPicPr/>
                  </pic:nvPicPr>
                  <pic:blipFill>
                    <a:blip r:embed="rId16"/>
                    <a:stretch>
                      <a:fillRect/>
                    </a:stretch>
                  </pic:blipFill>
                  <pic:spPr>
                    <a:xfrm>
                      <a:off x="0" y="0"/>
                      <a:ext cx="5486400" cy="46142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7036852, E 501355 i SWEREF 99 TM.</w:t>
      </w:r>
    </w:p>
    <w:p>
      <w:r>
        <w:t>I avverkningsanmälan finns fynd av 8 naturvårdsarter, varav 8 är rödlistade, 2 är fridlysta och 6 är typiska (T): garnlav (VU, T), knärot (VU, T, §8), violett fingersvamp (VU), gammelgransskål (NT, T), harticka (NT, T), rynkskinn (NT, T), tretåig hackspett (NT, T, §4)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908744"/>
            <wp:docPr id="2" name="Picture 2"/>
            <wp:cNvGraphicFramePr>
              <a:graphicFrameLocks noChangeAspect="1"/>
            </wp:cNvGraphicFramePr>
            <a:graphic>
              <a:graphicData uri="http://schemas.openxmlformats.org/drawingml/2006/picture">
                <pic:pic>
                  <pic:nvPicPr>
                    <pic:cNvPr id="0" name="A 38334-2023 karta knärot.png"/>
                    <pic:cNvPicPr/>
                  </pic:nvPicPr>
                  <pic:blipFill>
                    <a:blip r:embed="rId17"/>
                    <a:stretch>
                      <a:fillRect/>
                    </a:stretch>
                  </pic:blipFill>
                  <pic:spPr>
                    <a:xfrm>
                      <a:off x="0" y="0"/>
                      <a:ext cx="5486400" cy="59087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7036852, E 501355 i SWEREF 99 TM.</w:t>
      </w:r>
    </w:p>
    <w:p>
      <w:r>
        <w:rPr>
          <w:b/>
        </w:rPr>
        <w:t xml:space="preserve">Violett fingersvamp (VU) </w:t>
      </w:r>
      <w:r>
        <w:t>har ett okänt levnadssätt och växer i örtrika och magra betesmarker, hackslåttängar och örtbackar samt i park- och örtrika skogsmiljöer. Ett extensivt bete av gles skogsmark och av mosaikartade trädklädda miljöer med omväxlande gräs-/örtrika gläntor där arten förekommer är mycket gynnsamt och bör eftersträvas. Skogsmiljöer av den typ arten trivs i har ofta ett stort skyddsvärde och eventuellt skogsbruk måste på dessa platser bedrivas skonsamt. Violett fingersvamp</w:t>
      </w:r>
      <w:r>
        <w:rPr>
          <w:b/>
        </w:rPr>
        <w:t xml:space="preserve"> </w:t>
      </w:r>
      <w:r>
        <w:t>är globalt rödlistad som sårbar (VU) vilket innebär att Sverige har ett internationellt ansvar för arten (SLU Artdatabanken, 2024; IUCN,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