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20145-2026 i Östersunds kommun</w:t>
      </w:r>
    </w:p>
    <w:p>
      <w:r>
        <w:t>Denna tillsynsbegäran behandlar höga naturvärden i avverkningsanmälan A 20145-2026 i Östersunds kommun som inkom 2026-04-25 och omfattar 11,1 ha.</w:t>
      </w:r>
    </w:p>
    <w:p>
      <w:pPr>
        <w:pStyle w:val="Caption"/>
      </w:pPr>
      <w:r>
        <w:drawing>
          <wp:inline xmlns:a="http://schemas.openxmlformats.org/drawingml/2006/main" xmlns:pic="http://schemas.openxmlformats.org/drawingml/2006/picture">
            <wp:extent cx="5486400" cy="4136482"/>
            <wp:docPr id="1" name="Picture 1"/>
            <wp:cNvGraphicFramePr>
              <a:graphicFrameLocks noChangeAspect="1"/>
            </wp:cNvGraphicFramePr>
            <a:graphic>
              <a:graphicData uri="http://schemas.openxmlformats.org/drawingml/2006/picture">
                <pic:pic>
                  <pic:nvPicPr>
                    <pic:cNvPr id="0" name="A 20145-2026 karta.png"/>
                    <pic:cNvPicPr/>
                  </pic:nvPicPr>
                  <pic:blipFill>
                    <a:blip r:embed="rId16"/>
                    <a:stretch>
                      <a:fillRect/>
                    </a:stretch>
                  </pic:blipFill>
                  <pic:spPr>
                    <a:xfrm>
                      <a:off x="0" y="0"/>
                      <a:ext cx="5486400" cy="4136482"/>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7008545, E 491241 i SWEREF 99 TM.</w:t>
      </w:r>
    </w:p>
    <w:p>
      <w:r>
        <w:t>I och inom 18 meter från avverkningsanmälan finns fynd av 3 naturvårdsarter, varav 2 är fridlysta och 2 är signalarter (S): gräsull (S), tvåblad (S, §8) och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