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21753-2023 i Östersunds kommun</w:t>
      </w:r>
    </w:p>
    <w:p>
      <w:r>
        <w:t>Denna tillsynsbegäran behandlar höga naturvärden i avverkningsanmälan A 21753-2023 i Östersunds kommun som inkom 2023-05-17 och omfattar 6,1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A 21753-2023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7008497, E 477593 i SWEREF 99 TM.</w:t>
      </w:r>
    </w:p>
    <w:p>
      <w:r>
        <w:t>I och inom 12 meter från avverkningsanmälan finns fynd av 10 naturvårdsarter, varav 5 är rödlistade, 6 är fridlysta, 5 är typiska (T) och 2 är signalarter (S): knärot (VU, T, §8), violett guldvinge (VU, §4a), flattoppad klubbsvamp (NT), rosenticka (NT, T), ullticka (NT, T), rödgul trumpetsvamp (S), spindelblomster (S, T, §8), blåsippa (T, §9), svartvit flugsnappare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6.09 ha med buffertzonerna och får av detta skäl inte avverkas.</w:t>
      </w:r>
    </w:p>
    <w:p>
      <w:pPr>
        <w:pStyle w:val="Caption"/>
      </w:pPr>
      <w:r>
        <w:drawing>
          <wp:inline xmlns:a="http://schemas.openxmlformats.org/drawingml/2006/main" xmlns:pic="http://schemas.openxmlformats.org/drawingml/2006/picture">
            <wp:extent cx="5486400" cy="9347438"/>
            <wp:docPr id="2" name="Picture 2"/>
            <wp:cNvGraphicFramePr>
              <a:graphicFrameLocks noChangeAspect="1"/>
            </wp:cNvGraphicFramePr>
            <a:graphic>
              <a:graphicData uri="http://schemas.openxmlformats.org/drawingml/2006/picture">
                <pic:pic>
                  <pic:nvPicPr>
                    <pic:cNvPr id="0" name="A 21753-2023 karta knärot.png"/>
                    <pic:cNvPicPr/>
                  </pic:nvPicPr>
                  <pic:blipFill>
                    <a:blip r:embed="rId17"/>
                    <a:stretch>
                      <a:fillRect/>
                    </a:stretch>
                  </pic:blipFill>
                  <pic:spPr>
                    <a:xfrm>
                      <a:off x="0" y="0"/>
                      <a:ext cx="5486400" cy="9347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7008497, E 477593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spindelblomster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