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2432-2026 i Östersunds kommun</w:t>
      </w:r>
    </w:p>
    <w:p>
      <w:r>
        <w:t>Denna tillsynsbegäran behandlar höga naturvärden i samrådsanmälan S 2432-2026 i Östersunds kommun som inkom 2026-09-15 och omfattar 28,5 ha.</w:t>
      </w:r>
    </w:p>
    <w:p>
      <w:pPr>
        <w:pStyle w:val="Caption"/>
      </w:pPr>
      <w:r>
        <w:drawing>
          <wp:inline xmlns:a="http://schemas.openxmlformats.org/drawingml/2006/main" xmlns:pic="http://schemas.openxmlformats.org/drawingml/2006/picture">
            <wp:extent cx="4471014" cy="5724000"/>
            <wp:docPr id="1" name="Picture 1"/>
            <wp:cNvGraphicFramePr>
              <a:graphicFrameLocks noChangeAspect="1"/>
            </wp:cNvGraphicFramePr>
            <a:graphic>
              <a:graphicData uri="http://schemas.openxmlformats.org/drawingml/2006/picture">
                <pic:pic>
                  <pic:nvPicPr>
                    <pic:cNvPr id="0" name="S 2432-2026 karta.png"/>
                    <pic:cNvPicPr/>
                  </pic:nvPicPr>
                  <pic:blipFill>
                    <a:blip r:embed="rId16"/>
                    <a:stretch>
                      <a:fillRect/>
                    </a:stretch>
                  </pic:blipFill>
                  <pic:spPr>
                    <a:xfrm>
                      <a:off x="0" y="0"/>
                      <a:ext cx="447101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6988488, E 485671 i SWEREF 99 TM.</w:t>
      </w:r>
    </w:p>
    <w:p>
      <w:r>
        <w:t>I samrådsanmälan finns fynd av 4 naturvårdsarter, varav 1 är rödlistad, 2 är fridlysta, 3 är typiska (T) och 2 är signalarter (S): vårärt (NT, T), kransrams (S, T), tvåblad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Kransrams</w:t>
      </w:r>
      <w:r>
        <w:t xml:space="preserve"> är typisk art för </w:t>
      </w:r>
      <w:r>
        <w:rPr>
          <w:i/>
        </w:rPr>
        <w:t xml:space="preserve">9020 Nordlig ädellövskog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