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2979-2023 i Östersunds kommun</w:t>
      </w:r>
    </w:p>
    <w:p>
      <w:r>
        <w:t>Detta klagomål behandlar höga naturvärden i avverkningsanmälan A 2979-2023 i Östersunds kommun som inkom 2023-01-19 och omfattar 12,5 ha.</w:t>
      </w:r>
    </w:p>
    <w:p>
      <w:pPr>
        <w:pStyle w:val="Caption"/>
      </w:pPr>
      <w:r>
        <w:drawing>
          <wp:inline xmlns:a="http://schemas.openxmlformats.org/drawingml/2006/main" xmlns:pic="http://schemas.openxmlformats.org/drawingml/2006/picture">
            <wp:extent cx="5486400" cy="4321247"/>
            <wp:docPr id="1" name="Picture 1"/>
            <wp:cNvGraphicFramePr>
              <a:graphicFrameLocks noChangeAspect="1"/>
            </wp:cNvGraphicFramePr>
            <a:graphic>
              <a:graphicData uri="http://schemas.openxmlformats.org/drawingml/2006/picture">
                <pic:pic>
                  <pic:nvPicPr>
                    <pic:cNvPr id="0" name="A 2979-2023 karta.png"/>
                    <pic:cNvPicPr/>
                  </pic:nvPicPr>
                  <pic:blipFill>
                    <a:blip r:embed="rId16"/>
                    <a:stretch>
                      <a:fillRect/>
                    </a:stretch>
                  </pic:blipFill>
                  <pic:spPr>
                    <a:xfrm>
                      <a:off x="0" y="0"/>
                      <a:ext cx="5486400" cy="4321247"/>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7015173, E 492182 i SWEREF 99 TM.</w:t>
      </w:r>
    </w:p>
    <w:p>
      <w:r>
        <w:t>I och inom 7 meter från avverkningsanmälan finns fynd av 16 naturvårdsarter, varav 7 är rödlistade, 11 är fridlysta, 11 är typiska (T) och 3 är signalarter (S): garnlav (VU, T), knärot (VU, T, §8), lunglav (NT, T), skogsfru (NT, §8), talltita (NT, §4), tretåig hackspett (NT, T, §4), ullticka (NT, T), luddlav (S, T), spindelblomster (S, T, §8), stuplav (S, T), mattlummer (T, §9), spillkråka (T, §4), tjäder (T, §4), kungsfågel (§4), gullviva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20 fyndplatser för knärot registrerade på Artportalen. Figur 2 visar gränserna för buffertzoner på 50 m, som behöver lämnas kring fyndplatserna för att knärotslokalerna inte ska försvinna vid en avverkning. Av det avverkningsanmälda området överlappar 6.70 ha med buffertzonerna och får av detta skäl inte avverkas.</w:t>
      </w:r>
    </w:p>
    <w:p>
      <w:pPr>
        <w:pStyle w:val="Caption"/>
      </w:pPr>
      <w:r>
        <w:drawing>
          <wp:inline xmlns:a="http://schemas.openxmlformats.org/drawingml/2006/main" xmlns:pic="http://schemas.openxmlformats.org/drawingml/2006/picture">
            <wp:extent cx="5486400" cy="4085577"/>
            <wp:docPr id="2" name="Picture 2"/>
            <wp:cNvGraphicFramePr>
              <a:graphicFrameLocks noChangeAspect="1"/>
            </wp:cNvGraphicFramePr>
            <a:graphic>
              <a:graphicData uri="http://schemas.openxmlformats.org/drawingml/2006/picture">
                <pic:pic>
                  <pic:nvPicPr>
                    <pic:cNvPr id="0" name="A 2979-2023 karta knärot.png"/>
                    <pic:cNvPicPr/>
                  </pic:nvPicPr>
                  <pic:blipFill>
                    <a:blip r:embed="rId17"/>
                    <a:stretch>
                      <a:fillRect/>
                    </a:stretch>
                  </pic:blipFill>
                  <pic:spPr>
                    <a:xfrm>
                      <a:off x="0" y="0"/>
                      <a:ext cx="5486400" cy="408557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7015173, E 492182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Skogsfru (NT, §8)</w:t>
      </w:r>
      <w:r>
        <w:t xml:space="preserve"> växer i fuktig, skuggig skog med rörligt markvatten och god förnaproduktion. Den är placerad högst upp i Skogsstyrelsens värdepyramid för bedömning av skog med höga naturvärden och fridlyst enligt 8 § artskyddsförordningen. Slutavverkning utan hänsyn, markberedning och skyddsdikning utgör de allvarligaste hoten mot arten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