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2432-2026 i Östersunds kommun</w:t>
      </w:r>
    </w:p>
    <w:p>
      <w:r>
        <w:t>Detta klagomål behandlar höga naturvärden i samrådsanmälan S 2432-2026 i Östersunds kommun som inkom 2026-09-15 och omfattar 28,5 ha.</w:t>
      </w:r>
    </w:p>
    <w:p>
      <w:pPr>
        <w:pStyle w:val="Caption"/>
      </w:pPr>
      <w:r>
        <w:drawing>
          <wp:inline xmlns:a="http://schemas.openxmlformats.org/drawingml/2006/main" xmlns:pic="http://schemas.openxmlformats.org/drawingml/2006/picture">
            <wp:extent cx="4943097" cy="5724000"/>
            <wp:docPr id="1" name="Picture 1"/>
            <wp:cNvGraphicFramePr>
              <a:graphicFrameLocks noChangeAspect="1"/>
            </wp:cNvGraphicFramePr>
            <a:graphic>
              <a:graphicData uri="http://schemas.openxmlformats.org/drawingml/2006/picture">
                <pic:pic>
                  <pic:nvPicPr>
                    <pic:cNvPr id="0" name="S 2432-2026 karta.png"/>
                    <pic:cNvPicPr/>
                  </pic:nvPicPr>
                  <pic:blipFill>
                    <a:blip r:embed="rId16"/>
                    <a:stretch>
                      <a:fillRect/>
                    </a:stretch>
                  </pic:blipFill>
                  <pic:spPr>
                    <a:xfrm>
                      <a:off x="0" y="0"/>
                      <a:ext cx="4943097"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6988488, E 485671 i SWEREF 99 TM.</w:t>
      </w:r>
    </w:p>
    <w:p>
      <w:r>
        <w:t>I och inom 11 meter från samrådsanmälan finns fynd av 18 naturvårdsarter, varav 10 är rödlistade, 6 är fridlysta, 15 är typiska (T) och 5 är signalarter (S): garnlav (VU, T), knärot (VU, T, §8), fjällig taggsvamp s.str. (NT), harticka (NT, T), lavskrika (NT, T, §4), lunglav (NT, T), skrovellav (NT, T), tretåig hackspett (NT, T, §4), ullticka (NT, T), vårärt (NT, T), kransrams (S, T), svart trolldruva (S, T), svavelriska (S), trådticka (S, T), tvåblad (S, §8), blåsippa (T, §9), brudborste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8 fyndplatser för knärot registrerade på Artportalen. Figur 2 visar gränserna för buffertzoner på 50 m, som behöver lämnas kring fyndplatserna för att knärotslokalerna inte ska försvinna vid en avverkning. Av det samrådsanmälda området överlappar 3.95 ha med buffertzonerna och får av detta skäl inte avverkas.</w:t>
      </w:r>
    </w:p>
    <w:p>
      <w:pPr>
        <w:pStyle w:val="Caption"/>
      </w:pPr>
      <w:r>
        <w:drawing>
          <wp:inline xmlns:a="http://schemas.openxmlformats.org/drawingml/2006/main" xmlns:pic="http://schemas.openxmlformats.org/drawingml/2006/picture">
            <wp:extent cx="5486400" cy="9097108"/>
            <wp:docPr id="2" name="Picture 2"/>
            <wp:cNvGraphicFramePr>
              <a:graphicFrameLocks noChangeAspect="1"/>
            </wp:cNvGraphicFramePr>
            <a:graphic>
              <a:graphicData uri="http://schemas.openxmlformats.org/drawingml/2006/picture">
                <pic:pic>
                  <pic:nvPicPr>
                    <pic:cNvPr id="0" name="S 2432-2026 karta knärot.png"/>
                    <pic:cNvPicPr/>
                  </pic:nvPicPr>
                  <pic:blipFill>
                    <a:blip r:embed="rId17"/>
                    <a:stretch>
                      <a:fillRect/>
                    </a:stretch>
                  </pic:blipFill>
                  <pic:spPr>
                    <a:xfrm>
                      <a:off x="0" y="0"/>
                      <a:ext cx="5486400" cy="909710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6988488, E 485671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